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39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4358"/>
        <w:gridCol w:w="2342"/>
      </w:tblGrid>
      <w:tr w:rsidR="00483A51" w:rsidRPr="00483A51" w:rsidTr="00483A51">
        <w:trPr>
          <w:trHeight w:val="66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A51" w:rsidRPr="00483A51" w:rsidRDefault="00483A51" w:rsidP="00483A51">
            <w:pPr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A51" w:rsidRPr="00483A51" w:rsidRDefault="00483A51" w:rsidP="00483A51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483A51" w:rsidRPr="00483A51" w:rsidTr="00483A51">
        <w:trPr>
          <w:trHeight w:val="766"/>
        </w:trPr>
        <w:tc>
          <w:tcPr>
            <w:tcW w:w="89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4"/>
                <w:szCs w:val="34"/>
              </w:rPr>
            </w:pPr>
            <w:proofErr w:type="spellStart"/>
            <w:r w:rsidRPr="00483A51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Gwangju</w:t>
            </w:r>
            <w:proofErr w:type="spellEnd"/>
            <w:r w:rsidRPr="00483A51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Institute of Science and Technology</w:t>
            </w:r>
          </w:p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HY헤드라인M" w:eastAsia="HY헤드라인M" w:hAnsi="굴림" w:cs="굴림" w:hint="eastAsia"/>
                <w:color w:val="000000"/>
                <w:kern w:val="0"/>
                <w:sz w:val="26"/>
                <w:szCs w:val="26"/>
              </w:rPr>
              <w:t>Postdoctoral Researcher Job Description</w:t>
            </w:r>
          </w:p>
        </w:tc>
      </w:tr>
      <w:tr w:rsidR="00483A51" w:rsidRPr="00483A51" w:rsidTr="00483A51">
        <w:trPr>
          <w:trHeight w:val="66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A51" w:rsidRPr="00483A51" w:rsidRDefault="00483A51" w:rsidP="00483A51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3A51" w:rsidRPr="00483A51" w:rsidRDefault="00483A51" w:rsidP="00483A51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:rsidR="00483A51" w:rsidRDefault="00483A51" w:rsidP="00483A5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pacing w:after="0" w:line="384" w:lineRule="auto"/>
        <w:ind w:right="100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24"/>
          <w:szCs w:val="24"/>
        </w:rPr>
      </w:pPr>
      <w:r w:rsidRPr="00483A51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 xml:space="preserve"> [Job Description] Postdoctoral Researcher</w:t>
      </w:r>
    </w:p>
    <w:p w:rsidR="00483A51" w:rsidRPr="00483A51" w:rsidRDefault="00483A51" w:rsidP="00483A5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pacing w:after="0" w:line="384" w:lineRule="auto"/>
        <w:ind w:right="100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16"/>
        </w:rPr>
      </w:pPr>
      <w:bookmarkStart w:id="0" w:name="_GoBack"/>
      <w:bookmarkEnd w:id="0"/>
    </w:p>
    <w:p w:rsidR="00483A51" w:rsidRPr="00483A51" w:rsidRDefault="00483A51" w:rsidP="00483A5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pacing w:after="0" w:line="384" w:lineRule="auto"/>
        <w:ind w:right="100"/>
        <w:textAlignment w:val="baseline"/>
        <w:rPr>
          <w:rFonts w:ascii="함초롬바탕" w:eastAsia="굴림" w:hAnsi="굴림" w:cs="굴림"/>
          <w:b/>
          <w:bCs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97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2145"/>
        <w:gridCol w:w="1636"/>
        <w:gridCol w:w="1975"/>
        <w:gridCol w:w="2776"/>
      </w:tblGrid>
      <w:tr w:rsidR="00483A51" w:rsidRPr="00483A51" w:rsidTr="00483A51">
        <w:trPr>
          <w:trHeight w:val="332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Division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Occupation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Researcher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Recruitment field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Postdoctoral Researcher</w:t>
            </w:r>
          </w:p>
        </w:tc>
      </w:tr>
      <w:tr w:rsidR="00483A51" w:rsidRPr="00483A51" w:rsidTr="00483A51">
        <w:trPr>
          <w:trHeight w:val="894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NCS</w:t>
            </w:r>
          </w:p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classifications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19. Electrical/Electronic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03. Electronic device development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06. Semiconductor development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01. Semiconductor development</w:t>
            </w:r>
          </w:p>
        </w:tc>
      </w:tr>
      <w:tr w:rsidR="00483A51" w:rsidRPr="00483A51" w:rsidTr="00483A51">
        <w:trPr>
          <w:trHeight w:val="1246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Institutional Purpose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Cultivating advanced science and technology talent</w:t>
            </w:r>
          </w:p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Promoting collaborative research with industry and educational research exchanges with foreign countries</w:t>
            </w:r>
          </w:p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Contributing to national science and technology and balanced regional development</w:t>
            </w:r>
          </w:p>
        </w:tc>
      </w:tr>
      <w:tr w:rsidR="00483A51" w:rsidRPr="00483A51" w:rsidTr="00483A51">
        <w:trPr>
          <w:trHeight w:val="576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Required qualifications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Those who have a doctoral degree (related to semiconductor devices and condensed matter physics) or are scheduled to obtain it in February 2024</w:t>
            </w:r>
          </w:p>
        </w:tc>
      </w:tr>
      <w:tr w:rsidR="00483A51" w:rsidRPr="00483A51" w:rsidTr="00483A51">
        <w:trPr>
          <w:trHeight w:val="1306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Duties performed 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Development and practical implementation of artificial intelligence built-in sensors (miniaturized computational spectrometers) such as device fabrication unit process, sensor manufacturing and characterization, artificial intelligence algorithm supplementation, measurement equipment environment setup, etc.</w:t>
            </w:r>
          </w:p>
        </w:tc>
      </w:tr>
      <w:tr w:rsidR="00483A51" w:rsidRPr="00483A51" w:rsidTr="00483A51">
        <w:trPr>
          <w:trHeight w:val="2194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Required knowledge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Advantages/applications of van der Waals heterojunctions, operation principle of computational spectrometers, generation/guidance/detection of monochromatic and broadband light, everyday applications of spectroscopic analysis, etc.</w:t>
            </w:r>
          </w:p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References</w:t>
            </w:r>
            <w:r w:rsidRPr="00483A51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[1] https://doi.org/10.1126/science.add8544</w:t>
            </w:r>
          </w:p>
          <w:p w:rsidR="00483A51" w:rsidRPr="00483A51" w:rsidRDefault="00483A51" w:rsidP="00483A51">
            <w:pPr>
              <w:wordWrap/>
              <w:spacing w:after="0" w:line="240" w:lineRule="auto"/>
              <w:ind w:leftChars="100"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[2] https://doi.org/10.1038/s41467-024-44702-8</w:t>
            </w:r>
          </w:p>
          <w:p w:rsidR="00483A51" w:rsidRPr="00483A51" w:rsidRDefault="00483A51" w:rsidP="00483A51">
            <w:pPr>
              <w:wordWrap/>
              <w:spacing w:after="0" w:line="240" w:lineRule="auto"/>
              <w:ind w:leftChars="100"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[3] https://sites.google.com/view/q-mind-lab</w:t>
            </w:r>
          </w:p>
        </w:tc>
      </w:tr>
      <w:tr w:rsidR="00483A51" w:rsidRPr="00483A51" w:rsidTr="00483A51">
        <w:trPr>
          <w:trHeight w:val="1053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Required skills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○ Experiences in optoelectronic device fabrication and characterization based on two-dimensional materials (including mechanical exfoliation of transition metal </w:t>
            </w:r>
            <w:proofErr w:type="spellStart"/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dichalcogenides</w:t>
            </w:r>
            <w:proofErr w:type="spellEnd"/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and wet/dry transfer of graphene) or condensed matter physics experiments.</w:t>
            </w:r>
          </w:p>
        </w:tc>
      </w:tr>
      <w:tr w:rsidR="00483A51" w:rsidRPr="00483A51" w:rsidTr="00483A51">
        <w:trPr>
          <w:trHeight w:val="1095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Required attitude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Attitude to engage in work proactively and proactively.</w:t>
            </w:r>
          </w:p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Commitment to compliance with regulations, relevant laws, and standard technical standards.</w:t>
            </w:r>
          </w:p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Attitude to work sincerely and take responsibility for completing tasks.</w:t>
            </w:r>
          </w:p>
        </w:tc>
      </w:tr>
      <w:tr w:rsidR="00483A51" w:rsidRPr="00483A51" w:rsidTr="00483A51">
        <w:trPr>
          <w:trHeight w:val="576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Basic ability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ind w:left="176" w:hangingChars="100" w:hanging="17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Communication skills, problem solving skills, resource management skills, interpersonal skills, organizational understanding skills, work ethics</w:t>
            </w:r>
          </w:p>
        </w:tc>
      </w:tr>
      <w:tr w:rsidR="00483A51" w:rsidRPr="00483A51" w:rsidTr="00483A51">
        <w:trPr>
          <w:trHeight w:val="576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Collected information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ind w:left="400" w:hanging="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(Education) Degree acquisition institution, (Experience) Research performance institution, research/paper performance, etc.</w:t>
            </w:r>
          </w:p>
          <w:p w:rsidR="00483A51" w:rsidRPr="00483A51" w:rsidRDefault="00483A51" w:rsidP="00483A51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○ Purpose of collection: Confirmation of job suitability</w:t>
            </w:r>
          </w:p>
        </w:tc>
      </w:tr>
      <w:tr w:rsidR="00483A51" w:rsidRPr="00483A51" w:rsidTr="00483A51">
        <w:trPr>
          <w:trHeight w:val="192"/>
        </w:trPr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Reference site</w:t>
            </w:r>
          </w:p>
        </w:tc>
        <w:tc>
          <w:tcPr>
            <w:tcW w:w="8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83A51" w:rsidRPr="00483A51" w:rsidRDefault="00483A51" w:rsidP="00483A5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3A51">
              <w:rPr>
                <w:rFonts w:ascii="맑은 고딕" w:eastAsia="맑은 고딕" w:hAnsi="맑은 고딕" w:cs="굴림" w:hint="eastAsia"/>
                <w:color w:val="800080"/>
                <w:spacing w:val="-12"/>
                <w:kern w:val="0"/>
                <w:szCs w:val="20"/>
                <w:u w:val="single" w:color="800080"/>
              </w:rPr>
              <w:t>www.ncs.go.kr</w:t>
            </w:r>
          </w:p>
        </w:tc>
      </w:tr>
    </w:tbl>
    <w:p w:rsidR="00E47803" w:rsidRPr="00483A51" w:rsidRDefault="00483A51" w:rsidP="00483A51">
      <w:pPr>
        <w:rPr>
          <w:rFonts w:hint="eastAsia"/>
        </w:rPr>
      </w:pPr>
    </w:p>
    <w:sectPr w:rsidR="00E47803" w:rsidRPr="00483A51" w:rsidSect="00483A51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51"/>
    <w:rsid w:val="000D0C04"/>
    <w:rsid w:val="00483A51"/>
    <w:rsid w:val="00F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D87F"/>
  <w15:chartTrackingRefBased/>
  <w15:docId w15:val="{CE00BE35-066D-46CB-AFDD-BDCA5447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83A5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2024-02-02T01:31:00Z</dcterms:created>
  <dcterms:modified xsi:type="dcterms:W3CDTF">2024-02-02T01:37:00Z</dcterms:modified>
</cp:coreProperties>
</file>