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762" w:rsidRPr="00366B20" w:rsidRDefault="007F3D1B" w:rsidP="00D93762">
      <w:pPr>
        <w:spacing w:line="276" w:lineRule="auto"/>
        <w:jc w:val="center"/>
        <w:rPr>
          <w:sz w:val="36"/>
          <w:szCs w:val="36"/>
        </w:rPr>
      </w:pPr>
      <w:r>
        <w:rPr>
          <w:b/>
          <w:sz w:val="36"/>
          <w:szCs w:val="36"/>
        </w:rPr>
        <w:t>Ferrimagnetic spintronics</w:t>
      </w:r>
    </w:p>
    <w:p w:rsidR="003238D2" w:rsidRPr="00366B20" w:rsidRDefault="003238D2" w:rsidP="00036446">
      <w:pPr>
        <w:spacing w:line="276" w:lineRule="auto"/>
        <w:jc w:val="center"/>
        <w:rPr>
          <w:sz w:val="36"/>
          <w:szCs w:val="36"/>
        </w:rPr>
      </w:pPr>
    </w:p>
    <w:p w:rsidR="006E6C72" w:rsidRPr="006E6C72" w:rsidRDefault="00EA3E91" w:rsidP="006E6C72">
      <w:pPr>
        <w:pStyle w:val="Authors"/>
        <w:framePr w:w="0" w:hSpace="0" w:vSpace="0" w:wrap="auto" w:vAnchor="margin" w:hAnchor="text" w:xAlign="left" w:yAlign="inline"/>
        <w:spacing w:after="0" w:line="360" w:lineRule="auto"/>
        <w:rPr>
          <w:color w:val="000000"/>
          <w:sz w:val="28"/>
          <w:szCs w:val="28"/>
          <w:lang w:eastAsia="ko-KR"/>
        </w:rPr>
      </w:pPr>
      <w:r>
        <w:rPr>
          <w:color w:val="000000"/>
          <w:sz w:val="28"/>
          <w:szCs w:val="28"/>
          <w:lang w:val="en-AU" w:eastAsia="ko-KR"/>
        </w:rPr>
        <w:t>Kab-Jin Kim</w:t>
      </w:r>
      <w:r w:rsidR="00E83F9F" w:rsidRPr="00E83F9F">
        <w:rPr>
          <w:rFonts w:hint="eastAsia"/>
          <w:color w:val="000000"/>
          <w:sz w:val="28"/>
          <w:szCs w:val="28"/>
          <w:lang w:eastAsia="ko-KR"/>
        </w:rPr>
        <w:t>*</w:t>
      </w:r>
    </w:p>
    <w:p w:rsidR="006E6C72" w:rsidRPr="00036446" w:rsidRDefault="00E83F9F" w:rsidP="00EA3E91">
      <w:pPr>
        <w:pStyle w:val="Authors"/>
        <w:framePr w:w="0" w:hSpace="0" w:vSpace="0" w:wrap="auto" w:vAnchor="margin" w:hAnchor="text" w:xAlign="left" w:yAlign="inline"/>
        <w:spacing w:after="0" w:line="360" w:lineRule="auto"/>
        <w:rPr>
          <w:color w:val="000000"/>
          <w:sz w:val="24"/>
          <w:szCs w:val="24"/>
          <w:lang w:eastAsia="ko-KR"/>
        </w:rPr>
      </w:pPr>
      <w:r w:rsidRPr="00036446">
        <w:rPr>
          <w:rFonts w:hint="eastAsia"/>
          <w:color w:val="000000"/>
          <w:sz w:val="24"/>
          <w:szCs w:val="24"/>
          <w:lang w:eastAsia="ko-KR"/>
        </w:rPr>
        <w:t>*</w:t>
      </w:r>
      <w:r w:rsidRPr="00036446">
        <w:rPr>
          <w:color w:val="000000"/>
          <w:sz w:val="24"/>
          <w:szCs w:val="24"/>
          <w:lang w:val="en-AU" w:eastAsia="ko-KR"/>
        </w:rPr>
        <w:t xml:space="preserve"> </w:t>
      </w:r>
      <w:r w:rsidR="00EA3E91" w:rsidRPr="00EA3E91">
        <w:rPr>
          <w:color w:val="000000"/>
          <w:sz w:val="24"/>
          <w:szCs w:val="24"/>
          <w:lang w:val="en-AU" w:eastAsia="ko-KR"/>
        </w:rPr>
        <w:t>Department of Physics, Korea Advanced Institute of Science and Technology, Daejeon 34141, Korea</w:t>
      </w:r>
    </w:p>
    <w:p w:rsidR="00366B20" w:rsidRPr="00E83F9F" w:rsidRDefault="00366B20" w:rsidP="001D5253">
      <w:pPr>
        <w:pStyle w:val="Authors"/>
        <w:framePr w:w="0" w:hSpace="0" w:vSpace="0" w:wrap="auto" w:vAnchor="margin" w:hAnchor="text" w:xAlign="left" w:yAlign="inline"/>
        <w:spacing w:after="0" w:line="360" w:lineRule="auto"/>
        <w:rPr>
          <w:sz w:val="28"/>
          <w:szCs w:val="28"/>
          <w:lang w:eastAsia="ko-KR"/>
        </w:rPr>
      </w:pPr>
    </w:p>
    <w:p w:rsidR="001952DC" w:rsidRDefault="009A6349" w:rsidP="009A6349">
      <w:pPr>
        <w:spacing w:line="360" w:lineRule="auto"/>
        <w:ind w:firstLineChars="100" w:firstLine="240"/>
        <w:rPr>
          <w:sz w:val="24"/>
          <w:szCs w:val="24"/>
        </w:rPr>
      </w:pPr>
      <w:r w:rsidRPr="009A6349">
        <w:rPr>
          <w:sz w:val="24"/>
          <w:szCs w:val="24"/>
        </w:rPr>
        <w:t>Antiferromagnetic spintronics is an emerging research field which aims to utilize antiferromagnets as core elements in spintronic devices. A central motivation toward this direction is that antiferromagnetic spin dynamics is expected to be much faster than ferromagnetic counterpart because antiferromagnets have higher resonance frequencies than ferromagnets. However, experimental investigations of antiferromagnetic spin dynamics have remained unexplored mainly because of the immunity of a</w:t>
      </w:r>
      <w:bookmarkStart w:id="0" w:name="_GoBack"/>
      <w:bookmarkEnd w:id="0"/>
      <w:r w:rsidRPr="009A6349">
        <w:rPr>
          <w:sz w:val="24"/>
          <w:szCs w:val="24"/>
        </w:rPr>
        <w:t xml:space="preserve">ntiferromagnets to magnetic fields. </w:t>
      </w:r>
      <w:r>
        <w:rPr>
          <w:sz w:val="24"/>
          <w:szCs w:val="24"/>
        </w:rPr>
        <w:t xml:space="preserve">In this talk, </w:t>
      </w:r>
      <w:r w:rsidRPr="009A6349">
        <w:rPr>
          <w:sz w:val="24"/>
          <w:szCs w:val="24"/>
        </w:rPr>
        <w:t xml:space="preserve">we show that </w:t>
      </w:r>
      <w:r>
        <w:rPr>
          <w:sz w:val="24"/>
          <w:szCs w:val="24"/>
        </w:rPr>
        <w:t>the</w:t>
      </w:r>
      <w:r w:rsidRPr="009A6349">
        <w:rPr>
          <w:sz w:val="24"/>
          <w:szCs w:val="24"/>
        </w:rPr>
        <w:t xml:space="preserve"> antiferromagnetic spin dynamics </w:t>
      </w:r>
      <w:r w:rsidR="002C5A50">
        <w:rPr>
          <w:sz w:val="24"/>
          <w:szCs w:val="24"/>
        </w:rPr>
        <w:t>can be</w:t>
      </w:r>
      <w:r w:rsidRPr="009A6349">
        <w:rPr>
          <w:sz w:val="24"/>
          <w:szCs w:val="24"/>
        </w:rPr>
        <w:t xml:space="preserve"> realized in ferrimagnets at the angular momentum compensation point </w:t>
      </w:r>
      <w:r w:rsidRPr="002C5A50">
        <w:rPr>
          <w:i/>
          <w:sz w:val="24"/>
          <w:szCs w:val="24"/>
        </w:rPr>
        <w:t>T</w:t>
      </w:r>
      <w:r w:rsidRPr="002C5A50">
        <w:rPr>
          <w:sz w:val="24"/>
          <w:szCs w:val="24"/>
          <w:vertAlign w:val="subscript"/>
        </w:rPr>
        <w:t>A</w:t>
      </w:r>
      <w:r w:rsidRPr="009A6349">
        <w:rPr>
          <w:sz w:val="24"/>
          <w:szCs w:val="24"/>
        </w:rPr>
        <w:t xml:space="preserve">. Using rare-earth–3d-transition metal ferrimagnetic compounds where net magnetic moment is nonzero at </w:t>
      </w:r>
      <w:r w:rsidR="002C5A50" w:rsidRPr="002C5A50">
        <w:rPr>
          <w:i/>
          <w:sz w:val="24"/>
          <w:szCs w:val="24"/>
        </w:rPr>
        <w:t>T</w:t>
      </w:r>
      <w:r w:rsidR="002C5A50" w:rsidRPr="002C5A50">
        <w:rPr>
          <w:sz w:val="24"/>
          <w:szCs w:val="24"/>
          <w:vertAlign w:val="subscript"/>
        </w:rPr>
        <w:t>A</w:t>
      </w:r>
      <w:r w:rsidRPr="009A6349">
        <w:rPr>
          <w:sz w:val="24"/>
          <w:szCs w:val="24"/>
        </w:rPr>
        <w:t xml:space="preserve">, the field-driven DW mobility </w:t>
      </w:r>
      <w:r w:rsidR="002C5A50">
        <w:rPr>
          <w:sz w:val="24"/>
          <w:szCs w:val="24"/>
        </w:rPr>
        <w:t xml:space="preserve">is found to be </w:t>
      </w:r>
      <w:r w:rsidRPr="009A6349">
        <w:rPr>
          <w:sz w:val="24"/>
          <w:szCs w:val="24"/>
        </w:rPr>
        <w:t>remarkably enhance</w:t>
      </w:r>
      <w:r w:rsidR="002C5A50">
        <w:rPr>
          <w:sz w:val="24"/>
          <w:szCs w:val="24"/>
        </w:rPr>
        <w:t>d</w:t>
      </w:r>
      <w:r w:rsidRPr="009A6349">
        <w:rPr>
          <w:sz w:val="24"/>
          <w:szCs w:val="24"/>
        </w:rPr>
        <w:t xml:space="preserve">. The collective coordinate approach generalized for ferrimagnets and atomistic spin model simulations show that this remarkable enhancement is a consequence of antiferromagnetic spin dynamics at </w:t>
      </w:r>
      <w:r w:rsidR="002C5A50" w:rsidRPr="002C5A50">
        <w:rPr>
          <w:i/>
          <w:sz w:val="24"/>
          <w:szCs w:val="24"/>
        </w:rPr>
        <w:t>T</w:t>
      </w:r>
      <w:r w:rsidR="002C5A50" w:rsidRPr="002C5A50">
        <w:rPr>
          <w:sz w:val="24"/>
          <w:szCs w:val="24"/>
          <w:vertAlign w:val="subscript"/>
        </w:rPr>
        <w:t>A</w:t>
      </w:r>
      <w:r w:rsidRPr="009A6349">
        <w:rPr>
          <w:sz w:val="24"/>
          <w:szCs w:val="24"/>
        </w:rPr>
        <w:t xml:space="preserve">. </w:t>
      </w:r>
      <w:r w:rsidR="000A2A27">
        <w:rPr>
          <w:sz w:val="24"/>
          <w:szCs w:val="24"/>
        </w:rPr>
        <w:t xml:space="preserve">We also discuss our recent findings about the spin </w:t>
      </w:r>
      <w:r w:rsidR="008F7C80">
        <w:rPr>
          <w:rFonts w:hint="eastAsia"/>
          <w:sz w:val="24"/>
          <w:szCs w:val="24"/>
        </w:rPr>
        <w:t>w</w:t>
      </w:r>
      <w:r w:rsidR="008F7C80">
        <w:rPr>
          <w:sz w:val="24"/>
          <w:szCs w:val="24"/>
        </w:rPr>
        <w:t xml:space="preserve">ave </w:t>
      </w:r>
      <w:r w:rsidR="000A2A27">
        <w:rPr>
          <w:sz w:val="24"/>
          <w:szCs w:val="24"/>
        </w:rPr>
        <w:t xml:space="preserve">dynamics across the compensation points of ferrimagnets. </w:t>
      </w:r>
      <w:r w:rsidRPr="009A6349">
        <w:rPr>
          <w:sz w:val="24"/>
          <w:szCs w:val="24"/>
        </w:rPr>
        <w:t>Our finding highlights the importance of tuning of the compensation point</w:t>
      </w:r>
      <w:r w:rsidR="000A2A27">
        <w:rPr>
          <w:sz w:val="24"/>
          <w:szCs w:val="24"/>
        </w:rPr>
        <w:t>s</w:t>
      </w:r>
      <w:r w:rsidRPr="009A6349">
        <w:rPr>
          <w:sz w:val="24"/>
          <w:szCs w:val="24"/>
        </w:rPr>
        <w:t xml:space="preserve"> of ferrimagnets, which could be a key towards ferrimagnetic spintronics [1</w:t>
      </w:r>
      <w:r w:rsidR="000A2A27">
        <w:rPr>
          <w:sz w:val="24"/>
          <w:szCs w:val="24"/>
        </w:rPr>
        <w:t xml:space="preserve">- </w:t>
      </w:r>
      <w:r w:rsidR="008F7C80">
        <w:rPr>
          <w:sz w:val="24"/>
          <w:szCs w:val="24"/>
        </w:rPr>
        <w:t>5</w:t>
      </w:r>
      <w:r w:rsidRPr="009A6349">
        <w:rPr>
          <w:sz w:val="24"/>
          <w:szCs w:val="24"/>
        </w:rPr>
        <w:t>].</w:t>
      </w:r>
    </w:p>
    <w:p w:rsidR="001952DC" w:rsidRDefault="001952DC" w:rsidP="009A6349">
      <w:pPr>
        <w:spacing w:line="360" w:lineRule="auto"/>
        <w:ind w:firstLineChars="100" w:firstLine="240"/>
        <w:rPr>
          <w:sz w:val="24"/>
          <w:szCs w:val="24"/>
        </w:rPr>
      </w:pPr>
    </w:p>
    <w:p w:rsidR="001C24C5" w:rsidRDefault="00D049AC" w:rsidP="0083535C">
      <w:pPr>
        <w:spacing w:line="360" w:lineRule="auto"/>
        <w:ind w:firstLineChars="100" w:firstLine="240"/>
        <w:rPr>
          <w:sz w:val="24"/>
          <w:szCs w:val="24"/>
        </w:rPr>
      </w:pPr>
      <w:r>
        <w:rPr>
          <w:sz w:val="24"/>
          <w:szCs w:val="24"/>
        </w:rPr>
        <w:t xml:space="preserve">[1] </w:t>
      </w:r>
      <w:r w:rsidR="00CD2105" w:rsidRPr="00CD2105">
        <w:rPr>
          <w:sz w:val="24"/>
          <w:szCs w:val="24"/>
        </w:rPr>
        <w:t xml:space="preserve">Kab-Jin Kim et al., Nat. Mater. </w:t>
      </w:r>
      <w:r w:rsidR="00CD2105" w:rsidRPr="0083535C">
        <w:rPr>
          <w:b/>
          <w:sz w:val="24"/>
          <w:szCs w:val="24"/>
        </w:rPr>
        <w:t>16</w:t>
      </w:r>
      <w:r w:rsidR="00CD2105" w:rsidRPr="00CD2105">
        <w:rPr>
          <w:sz w:val="24"/>
          <w:szCs w:val="24"/>
        </w:rPr>
        <w:t>, 1187 (2017).</w:t>
      </w:r>
      <w:r w:rsidR="009A6349" w:rsidRPr="009A6349">
        <w:rPr>
          <w:sz w:val="24"/>
          <w:szCs w:val="24"/>
        </w:rPr>
        <w:t xml:space="preserve"> </w:t>
      </w:r>
    </w:p>
    <w:p w:rsidR="000A2A27" w:rsidRDefault="00D049AC" w:rsidP="0083535C">
      <w:pPr>
        <w:spacing w:line="360" w:lineRule="auto"/>
        <w:ind w:firstLineChars="100" w:firstLine="240"/>
        <w:rPr>
          <w:sz w:val="24"/>
          <w:szCs w:val="24"/>
        </w:rPr>
      </w:pPr>
      <w:r>
        <w:rPr>
          <w:sz w:val="24"/>
          <w:szCs w:val="24"/>
        </w:rPr>
        <w:t xml:space="preserve">[2] </w:t>
      </w:r>
      <w:proofErr w:type="spellStart"/>
      <w:r w:rsidR="00D144E2">
        <w:rPr>
          <w:sz w:val="24"/>
          <w:szCs w:val="24"/>
        </w:rPr>
        <w:t>Yuushou</w:t>
      </w:r>
      <w:proofErr w:type="spellEnd"/>
      <w:r w:rsidR="00D144E2">
        <w:rPr>
          <w:sz w:val="24"/>
          <w:szCs w:val="24"/>
        </w:rPr>
        <w:t xml:space="preserve"> Hirata et al., Nat. Nanotech. </w:t>
      </w:r>
      <w:r w:rsidR="00D144E2" w:rsidRPr="00D144E2">
        <w:rPr>
          <w:b/>
          <w:sz w:val="24"/>
          <w:szCs w:val="24"/>
        </w:rPr>
        <w:t>14</w:t>
      </w:r>
      <w:r w:rsidR="00D144E2">
        <w:rPr>
          <w:sz w:val="24"/>
          <w:szCs w:val="24"/>
        </w:rPr>
        <w:t>, 232 (2019).</w:t>
      </w:r>
    </w:p>
    <w:p w:rsidR="00D144E2" w:rsidRDefault="00D144E2" w:rsidP="0083535C">
      <w:pPr>
        <w:spacing w:line="360" w:lineRule="auto"/>
        <w:ind w:firstLineChars="100" w:firstLine="240"/>
        <w:rPr>
          <w:sz w:val="24"/>
          <w:szCs w:val="24"/>
        </w:rPr>
      </w:pPr>
      <w:r>
        <w:rPr>
          <w:sz w:val="24"/>
          <w:szCs w:val="24"/>
        </w:rPr>
        <w:t xml:space="preserve">[3] Duck-Ho Kim et al., Phys. Rev. Lett. </w:t>
      </w:r>
      <w:r w:rsidRPr="00D144E2">
        <w:rPr>
          <w:b/>
          <w:sz w:val="24"/>
          <w:szCs w:val="24"/>
        </w:rPr>
        <w:t>122</w:t>
      </w:r>
      <w:r>
        <w:rPr>
          <w:sz w:val="24"/>
          <w:szCs w:val="24"/>
        </w:rPr>
        <w:t>, 127203 (2019).</w:t>
      </w:r>
    </w:p>
    <w:p w:rsidR="00D144E2" w:rsidRDefault="00D144E2" w:rsidP="0083535C">
      <w:pPr>
        <w:spacing w:line="360" w:lineRule="auto"/>
        <w:ind w:firstLineChars="100" w:firstLine="240"/>
        <w:rPr>
          <w:sz w:val="24"/>
          <w:szCs w:val="24"/>
        </w:rPr>
      </w:pPr>
      <w:r>
        <w:rPr>
          <w:sz w:val="24"/>
          <w:szCs w:val="24"/>
        </w:rPr>
        <w:t xml:space="preserve">[4] Duck-Ho Kim et al., Nat. Mater. </w:t>
      </w:r>
      <w:r w:rsidRPr="00D144E2">
        <w:rPr>
          <w:b/>
          <w:sz w:val="24"/>
          <w:szCs w:val="24"/>
        </w:rPr>
        <w:t>18</w:t>
      </w:r>
      <w:r>
        <w:rPr>
          <w:sz w:val="24"/>
          <w:szCs w:val="24"/>
        </w:rPr>
        <w:t>, 685 (2019).</w:t>
      </w:r>
    </w:p>
    <w:p w:rsidR="00D144E2" w:rsidRDefault="00D144E2" w:rsidP="0083535C">
      <w:pPr>
        <w:spacing w:line="360" w:lineRule="auto"/>
        <w:ind w:firstLineChars="100" w:firstLine="240"/>
        <w:rPr>
          <w:sz w:val="24"/>
          <w:szCs w:val="24"/>
        </w:rPr>
      </w:pPr>
      <w:r>
        <w:rPr>
          <w:sz w:val="24"/>
          <w:szCs w:val="24"/>
        </w:rPr>
        <w:t xml:space="preserve">[5] Takaya </w:t>
      </w:r>
      <w:proofErr w:type="spellStart"/>
      <w:r>
        <w:rPr>
          <w:sz w:val="24"/>
          <w:szCs w:val="24"/>
        </w:rPr>
        <w:t>Okuno</w:t>
      </w:r>
      <w:proofErr w:type="spellEnd"/>
      <w:r>
        <w:rPr>
          <w:sz w:val="24"/>
          <w:szCs w:val="24"/>
        </w:rPr>
        <w:t xml:space="preserve"> et al., Nat. Electron. </w:t>
      </w:r>
      <w:r w:rsidRPr="00D144E2">
        <w:rPr>
          <w:b/>
          <w:sz w:val="24"/>
          <w:szCs w:val="24"/>
        </w:rPr>
        <w:t>2</w:t>
      </w:r>
      <w:r>
        <w:rPr>
          <w:sz w:val="24"/>
          <w:szCs w:val="24"/>
        </w:rPr>
        <w:t>, 389 (2019).</w:t>
      </w:r>
    </w:p>
    <w:p w:rsidR="00403596" w:rsidRPr="004A219F" w:rsidRDefault="00403596" w:rsidP="0083535C">
      <w:pPr>
        <w:spacing w:line="360" w:lineRule="auto"/>
        <w:ind w:firstLineChars="100" w:firstLine="240"/>
        <w:rPr>
          <w:rFonts w:hint="eastAsia"/>
          <w:sz w:val="24"/>
          <w:szCs w:val="24"/>
        </w:rPr>
      </w:pPr>
      <w:r>
        <w:rPr>
          <w:rFonts w:hint="eastAsia"/>
          <w:sz w:val="24"/>
          <w:szCs w:val="24"/>
        </w:rPr>
        <w:t>[</w:t>
      </w:r>
      <w:r>
        <w:rPr>
          <w:sz w:val="24"/>
          <w:szCs w:val="24"/>
        </w:rPr>
        <w:t xml:space="preserve">6] </w:t>
      </w:r>
      <w:proofErr w:type="spellStart"/>
      <w:r>
        <w:rPr>
          <w:sz w:val="24"/>
          <w:szCs w:val="24"/>
        </w:rPr>
        <w:t>Changsoo</w:t>
      </w:r>
      <w:proofErr w:type="spellEnd"/>
      <w:r>
        <w:rPr>
          <w:sz w:val="24"/>
          <w:szCs w:val="24"/>
        </w:rPr>
        <w:t xml:space="preserve"> Kim et al., Nat. Mater. </w:t>
      </w:r>
      <w:r w:rsidR="00731CF0" w:rsidRPr="00731CF0">
        <w:rPr>
          <w:b/>
          <w:sz w:val="24"/>
          <w:szCs w:val="24"/>
        </w:rPr>
        <w:t>19</w:t>
      </w:r>
      <w:r w:rsidR="00731CF0">
        <w:rPr>
          <w:sz w:val="24"/>
          <w:szCs w:val="24"/>
        </w:rPr>
        <w:t>, 980 (2020).</w:t>
      </w:r>
    </w:p>
    <w:sectPr w:rsidR="00403596" w:rsidRPr="004A219F" w:rsidSect="00253AE3">
      <w:pgSz w:w="11906" w:h="16838"/>
      <w:pgMar w:top="1985" w:right="1418" w:bottom="1985"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1BC" w:rsidRDefault="000321BC" w:rsidP="003F454E">
      <w:r>
        <w:separator/>
      </w:r>
    </w:p>
  </w:endnote>
  <w:endnote w:type="continuationSeparator" w:id="0">
    <w:p w:rsidR="000321BC" w:rsidRDefault="000321BC" w:rsidP="003F4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1BC" w:rsidRDefault="000321BC" w:rsidP="003F454E">
      <w:r>
        <w:separator/>
      </w:r>
    </w:p>
  </w:footnote>
  <w:footnote w:type="continuationSeparator" w:id="0">
    <w:p w:rsidR="000321BC" w:rsidRDefault="000321BC" w:rsidP="003F45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38D2"/>
    <w:rsid w:val="000321BC"/>
    <w:rsid w:val="00036446"/>
    <w:rsid w:val="000375AC"/>
    <w:rsid w:val="0007438F"/>
    <w:rsid w:val="000A2A27"/>
    <w:rsid w:val="000E697A"/>
    <w:rsid w:val="00182279"/>
    <w:rsid w:val="001952DC"/>
    <w:rsid w:val="001B3D69"/>
    <w:rsid w:val="001C24C5"/>
    <w:rsid w:val="001D5253"/>
    <w:rsid w:val="0021418D"/>
    <w:rsid w:val="002246E9"/>
    <w:rsid w:val="00253AE3"/>
    <w:rsid w:val="002829AB"/>
    <w:rsid w:val="002832D2"/>
    <w:rsid w:val="002C5A50"/>
    <w:rsid w:val="0031184E"/>
    <w:rsid w:val="003238D2"/>
    <w:rsid w:val="00346E6D"/>
    <w:rsid w:val="00347AB5"/>
    <w:rsid w:val="003601B5"/>
    <w:rsid w:val="003602FC"/>
    <w:rsid w:val="00366B20"/>
    <w:rsid w:val="003C78F9"/>
    <w:rsid w:val="003F454E"/>
    <w:rsid w:val="00403596"/>
    <w:rsid w:val="00423120"/>
    <w:rsid w:val="004453EA"/>
    <w:rsid w:val="004A219F"/>
    <w:rsid w:val="004B0081"/>
    <w:rsid w:val="00544B37"/>
    <w:rsid w:val="005852CE"/>
    <w:rsid w:val="00634B4B"/>
    <w:rsid w:val="0064601A"/>
    <w:rsid w:val="00660E3E"/>
    <w:rsid w:val="006812BD"/>
    <w:rsid w:val="006E6C72"/>
    <w:rsid w:val="00731CF0"/>
    <w:rsid w:val="00760F1A"/>
    <w:rsid w:val="00761F01"/>
    <w:rsid w:val="007F3D1B"/>
    <w:rsid w:val="008064E6"/>
    <w:rsid w:val="0083535C"/>
    <w:rsid w:val="00847FED"/>
    <w:rsid w:val="00853D32"/>
    <w:rsid w:val="008578AC"/>
    <w:rsid w:val="008C2138"/>
    <w:rsid w:val="008C5129"/>
    <w:rsid w:val="008F7C80"/>
    <w:rsid w:val="00917764"/>
    <w:rsid w:val="0095144B"/>
    <w:rsid w:val="00997670"/>
    <w:rsid w:val="009A6349"/>
    <w:rsid w:val="009E77AD"/>
    <w:rsid w:val="00A23697"/>
    <w:rsid w:val="00A434A3"/>
    <w:rsid w:val="00AB2844"/>
    <w:rsid w:val="00AC26F6"/>
    <w:rsid w:val="00AD52E4"/>
    <w:rsid w:val="00AE3BFB"/>
    <w:rsid w:val="00B06808"/>
    <w:rsid w:val="00B16B1D"/>
    <w:rsid w:val="00B40524"/>
    <w:rsid w:val="00BB52F0"/>
    <w:rsid w:val="00BD0537"/>
    <w:rsid w:val="00C36959"/>
    <w:rsid w:val="00C40840"/>
    <w:rsid w:val="00CC4B38"/>
    <w:rsid w:val="00CD2105"/>
    <w:rsid w:val="00CE5326"/>
    <w:rsid w:val="00D049AC"/>
    <w:rsid w:val="00D11E88"/>
    <w:rsid w:val="00D144E2"/>
    <w:rsid w:val="00D43987"/>
    <w:rsid w:val="00D5100C"/>
    <w:rsid w:val="00D524E2"/>
    <w:rsid w:val="00D93762"/>
    <w:rsid w:val="00DB3FA0"/>
    <w:rsid w:val="00DB58E5"/>
    <w:rsid w:val="00E368CC"/>
    <w:rsid w:val="00E83F9F"/>
    <w:rsid w:val="00EA3E91"/>
    <w:rsid w:val="00ED223D"/>
    <w:rsid w:val="00F5475D"/>
    <w:rsid w:val="00F64445"/>
    <w:rsid w:val="00F908D0"/>
    <w:rsid w:val="00FA348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BD31F"/>
  <w15:docId w15:val="{90C7E38D-B408-4BF5-820C-C39163A8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맑은 고딕" w:hAnsi="Times New Roman" w:cs="Times New Roman"/>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0840"/>
    <w:pPr>
      <w:widowControl w:val="0"/>
      <w:wordWrap w:val="0"/>
      <w:autoSpaceDE w:val="0"/>
      <w:autoSpaceDN w:val="0"/>
      <w:jc w:val="both"/>
    </w:pPr>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812BD"/>
    <w:rPr>
      <w:color w:val="0000FF"/>
      <w:u w:val="single"/>
    </w:rPr>
  </w:style>
  <w:style w:type="paragraph" w:styleId="a4">
    <w:name w:val="header"/>
    <w:basedOn w:val="a"/>
    <w:link w:val="Char"/>
    <w:uiPriority w:val="99"/>
    <w:unhideWhenUsed/>
    <w:rsid w:val="003F454E"/>
    <w:pPr>
      <w:tabs>
        <w:tab w:val="center" w:pos="4513"/>
        <w:tab w:val="right" w:pos="9026"/>
      </w:tabs>
      <w:snapToGrid w:val="0"/>
    </w:pPr>
    <w:rPr>
      <w:lang w:val="x-none" w:eastAsia="x-none"/>
    </w:rPr>
  </w:style>
  <w:style w:type="character" w:customStyle="1" w:styleId="Char">
    <w:name w:val="머리글 Char"/>
    <w:link w:val="a4"/>
    <w:uiPriority w:val="99"/>
    <w:rsid w:val="003F454E"/>
    <w:rPr>
      <w:sz w:val="16"/>
      <w:szCs w:val="16"/>
    </w:rPr>
  </w:style>
  <w:style w:type="paragraph" w:styleId="a5">
    <w:name w:val="footer"/>
    <w:basedOn w:val="a"/>
    <w:link w:val="Char0"/>
    <w:uiPriority w:val="99"/>
    <w:unhideWhenUsed/>
    <w:rsid w:val="003F454E"/>
    <w:pPr>
      <w:tabs>
        <w:tab w:val="center" w:pos="4513"/>
        <w:tab w:val="right" w:pos="9026"/>
      </w:tabs>
      <w:snapToGrid w:val="0"/>
    </w:pPr>
    <w:rPr>
      <w:lang w:val="x-none" w:eastAsia="x-none"/>
    </w:rPr>
  </w:style>
  <w:style w:type="character" w:customStyle="1" w:styleId="Char0">
    <w:name w:val="바닥글 Char"/>
    <w:link w:val="a5"/>
    <w:uiPriority w:val="99"/>
    <w:rsid w:val="003F454E"/>
    <w:rPr>
      <w:sz w:val="16"/>
      <w:szCs w:val="16"/>
    </w:rPr>
  </w:style>
  <w:style w:type="paragraph" w:customStyle="1" w:styleId="Authors">
    <w:name w:val="Authors"/>
    <w:basedOn w:val="a"/>
    <w:next w:val="a"/>
    <w:rsid w:val="006E6C72"/>
    <w:pPr>
      <w:framePr w:w="9072" w:hSpace="187" w:vSpace="187" w:wrap="notBeside" w:vAnchor="text" w:hAnchor="page" w:xAlign="center" w:y="1"/>
      <w:widowControl/>
      <w:wordWrap/>
      <w:spacing w:after="320"/>
      <w:jc w:val="center"/>
    </w:pPr>
    <w:rPr>
      <w:rFonts w:eastAsia="바탕"/>
      <w:sz w:val="22"/>
      <w:szCs w:val="22"/>
      <w:lang w:eastAsia="en-US"/>
    </w:rPr>
  </w:style>
  <w:style w:type="paragraph" w:styleId="a6">
    <w:name w:val="Balloon Text"/>
    <w:basedOn w:val="a"/>
    <w:link w:val="Char1"/>
    <w:uiPriority w:val="99"/>
    <w:semiHidden/>
    <w:unhideWhenUsed/>
    <w:rsid w:val="00BB52F0"/>
    <w:rPr>
      <w:rFonts w:ascii="맑은 고딕" w:hAnsi="맑은 고딕"/>
      <w:sz w:val="18"/>
      <w:szCs w:val="18"/>
      <w:lang w:val="x-none" w:eastAsia="x-none"/>
    </w:rPr>
  </w:style>
  <w:style w:type="character" w:customStyle="1" w:styleId="Char1">
    <w:name w:val="풍선 도움말 텍스트 Char"/>
    <w:link w:val="a6"/>
    <w:uiPriority w:val="99"/>
    <w:semiHidden/>
    <w:rsid w:val="00BB52F0"/>
    <w:rPr>
      <w:rFonts w:ascii="맑은 고딕" w:eastAsia="맑은 고딕" w:hAnsi="맑은 고딕"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A2ECD2-1832-4B56-8CD0-EC3F2BB08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265</Words>
  <Characters>1515</Characters>
  <Application>Microsoft Office Word</Application>
  <DocSecurity>0</DocSecurity>
  <Lines>12</Lines>
  <Paragraphs>3</Paragraphs>
  <ScaleCrop>false</ScaleCrop>
  <HeadingPairs>
    <vt:vector size="2" baseType="variant">
      <vt:variant>
        <vt:lpstr>제목</vt:lpstr>
      </vt:variant>
      <vt:variant>
        <vt:i4>1</vt:i4>
      </vt:variant>
    </vt:vector>
  </HeadingPairs>
  <TitlesOfParts>
    <vt:vector size="1" baseType="lpstr">
      <vt:lpstr/>
    </vt:vector>
  </TitlesOfParts>
  <Company>KOREA</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ICAMD Secretariat</dc:creator>
  <cp:lastModifiedBy>Kab-Jin Kim</cp:lastModifiedBy>
  <cp:revision>19</cp:revision>
  <cp:lastPrinted>2009-07-10T10:43:00Z</cp:lastPrinted>
  <dcterms:created xsi:type="dcterms:W3CDTF">2019-01-29T02:48:00Z</dcterms:created>
  <dcterms:modified xsi:type="dcterms:W3CDTF">2020-08-27T03:25:00Z</dcterms:modified>
</cp:coreProperties>
</file>