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  <w:rPr>
          <w:rFonts w:ascii="Avenir Heavy" w:cs="Avenir Heavy" w:hAnsi="Avenir Heavy" w:eastAsia="Avenir Heavy"/>
          <w:sz w:val="36"/>
          <w:szCs w:val="36"/>
        </w:rPr>
      </w:pPr>
      <w:r>
        <w:rPr>
          <w:rFonts w:ascii="Avenir Heavy" w:hAnsi="Avenir Heavy"/>
          <w:outline w:val="0"/>
          <w:color w:val="ed220b"/>
          <w:sz w:val="36"/>
          <w:szCs w:val="36"/>
          <w:rtl w:val="0"/>
          <w14:textFill>
            <w14:solidFill>
              <w14:srgbClr w14:val="EE220C"/>
            </w14:solidFill>
          </w14:textFill>
        </w:rPr>
        <w:t>G</w:t>
      </w:r>
      <w:r>
        <w:rPr>
          <w:rFonts w:ascii="Avenir Heavy" w:hAnsi="Avenir Heavy"/>
          <w:sz w:val="36"/>
          <w:szCs w:val="36"/>
          <w:rtl w:val="0"/>
          <w:lang w:val="en-US"/>
        </w:rPr>
        <w:t>IST receives 2021 Best Start-up University Award</w:t>
      </w:r>
    </w:p>
    <w:p>
      <w:pPr>
        <w:pStyle w:val="Body"/>
        <w:rPr>
          <w:rFonts w:ascii="Avenir Heavy" w:cs="Avenir Heavy" w:hAnsi="Avenir Heavy" w:eastAsia="Avenir Heavy"/>
        </w:rPr>
      </w:pPr>
    </w:p>
    <w:p>
      <w:pPr>
        <w:pStyle w:val="Body"/>
        <w:jc w:val="center"/>
        <w:rPr>
          <w:rFonts w:ascii="Avenir Heavy" w:cs="Avenir Heavy" w:hAnsi="Avenir Heavy" w:eastAsia="Avenir Heavy"/>
        </w:rPr>
      </w:pPr>
      <w:r>
        <w:rPr>
          <w:rFonts w:ascii="Avenir Heavy" w:hAnsi="Avenir Heavy"/>
          <w:rtl w:val="0"/>
          <w:lang w:val="en-US"/>
        </w:rPr>
        <w:t>- Selected as the No. 1 start-up university for three consecutive years since 2017</w:t>
      </w:r>
    </w:p>
    <w:p>
      <w:pPr>
        <w:pStyle w:val="Body"/>
        <w:jc w:val="center"/>
        <w:rPr>
          <w:rFonts w:ascii="Avenir Heavy" w:cs="Avenir Heavy" w:hAnsi="Avenir Heavy" w:eastAsia="Avenir Heavy"/>
        </w:rPr>
      </w:pPr>
      <w:r>
        <w:rPr>
          <w:rFonts w:ascii="Avenir Heavy" w:hAnsi="Avenir Heavy"/>
          <w:rtl w:val="0"/>
          <w:lang w:val="en-US"/>
        </w:rPr>
        <w:t>- Recognized for excellence in the field of start-up support following last year's Start-up Performance Excellence Award</w:t>
      </w:r>
    </w:p>
    <w:p>
      <w:pPr>
        <w:pStyle w:val="Body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Default"/>
        <w:bidi w:val="0"/>
        <w:spacing w:before="0" w:line="240" w:lineRule="auto"/>
        <w:ind w:left="0" w:right="0" w:firstLine="0"/>
        <w:jc w:val="center"/>
        <w:rPr>
          <w:sz w:val="24"/>
          <w:szCs w:val="24"/>
          <w:rtl w:val="0"/>
        </w:rPr>
      </w:pPr>
      <w:r>
        <w:rPr>
          <w:sz w:val="24"/>
          <w:szCs w:val="24"/>
          <w:rtl w:val="0"/>
        </w:rPr>
        <w:t xml:space="preserve"> 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sz w:val="24"/>
          <w:szCs w:val="24"/>
          <w:rtl w:val="0"/>
        </w:rPr>
      </w:pPr>
      <w:r>
        <w:rPr>
          <w:sz w:val="24"/>
          <w:szCs w:val="24"/>
          <w:rtl w:val="0"/>
        </w:rPr>
        <w:drawing xmlns:a="http://schemas.openxmlformats.org/drawingml/2006/main">
          <wp:inline distT="0" distB="0" distL="0" distR="0">
            <wp:extent cx="6620073" cy="4965055"/>
            <wp:effectExtent l="0" t="0" r="0" b="0"/>
            <wp:docPr id="1073741825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" descr="Image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0073" cy="4965055"/>
                    </a:xfrm>
                    <a:prstGeom prst="rect">
                      <a:avLst/>
                    </a:prstGeom>
                    <a:ln w="25400" cap="flat">
                      <a:solidFill>
                        <a:srgbClr val="F3F7F5"/>
                      </a:solidFill>
                      <a:prstDash val="solid"/>
                      <a:miter lim="400000"/>
                    </a:ln>
                    <a:effectLst>
                      <a:outerShdw sx="100000" sy="100000" kx="0" ky="0" algn="b" rotWithShape="0" blurRad="50800" dist="25400" dir="360000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sz w:val="24"/>
          <w:szCs w:val="24"/>
          <w:rtl w:val="0"/>
        </w:rPr>
        <w:t xml:space="preserve"> </w:t>
      </w:r>
    </w:p>
    <w:p>
      <w:pPr>
        <w:pStyle w:val="Body"/>
        <w:jc w:val="center"/>
        <w:rPr>
          <w:rFonts w:ascii="iA Writer Duospace Regular" w:cs="iA Writer Duospace Regular" w:hAnsi="iA Writer Duospace Regular" w:eastAsia="iA Writer Duospace Regular"/>
          <w:sz w:val="18"/>
          <w:szCs w:val="18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18"/>
          <w:szCs w:val="18"/>
          <w:rtl w:val="0"/>
        </w:rPr>
        <w:t>▲</w:t>
      </w:r>
      <w:r>
        <w:rPr>
          <w:rFonts w:ascii="iA Writer Duospace Regular" w:hAnsi="iA Writer Duospace Regular"/>
          <w:sz w:val="18"/>
          <w:szCs w:val="18"/>
          <w:rtl w:val="0"/>
        </w:rPr>
        <w:t xml:space="preserve"> </w:t>
      </w:r>
      <w:r>
        <w:rPr>
          <w:rFonts w:ascii="iA Writer Duospace Regular" w:hAnsi="iA Writer Duospace Regular"/>
          <w:sz w:val="18"/>
          <w:szCs w:val="18"/>
          <w:rtl w:val="0"/>
          <w:lang w:val="en-US"/>
        </w:rPr>
        <w:t>GIST 2021 Best Start-up University Award (from left): GIST Business</w:t>
      </w:r>
    </w:p>
    <w:p>
      <w:pPr>
        <w:pStyle w:val="Body"/>
        <w:jc w:val="center"/>
        <w:rPr>
          <w:rFonts w:ascii="iA Writer Duospace Regular" w:cs="iA Writer Duospace Regular" w:hAnsi="iA Writer Duospace Regular" w:eastAsia="iA Writer Duospace Regular"/>
          <w:sz w:val="18"/>
          <w:szCs w:val="18"/>
        </w:rPr>
      </w:pPr>
      <w:r>
        <w:rPr>
          <w:rFonts w:ascii="iA Writer Duospace Regular" w:hAnsi="iA Writer Duospace Regular"/>
          <w:sz w:val="18"/>
          <w:szCs w:val="18"/>
          <w:rtl w:val="0"/>
          <w:lang w:val="en-US"/>
        </w:rPr>
        <w:t>Incubator Director Byeong-kwan Cho and Administrator Ji-woong Kim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GIST (Gwangju Institute of Science and Technology, President Kiseon Kim) received the Excellence Award in the Start-up Support category of the 2021 Best Start-up University hosted by the Korea Incubator Association and Maeil Economic Daily.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This year, excellent start-up universities were selected through the Maekyung University Startup Index comprehensive evaluation in three categories, including start-up infrastructure, start-up support, and start-up performance, targeting 248 four-year general colleges and 167 junior colleges. The awards ceremony was held at the Maeil Business Headquarters on Thursday, December 9th.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Since opening the Business Incubator in 2000, GIST has been planning and supporting various start-up support programs and has been awarded the highest grade in the business incubator center operation evaluation by the Ministry of SMEs and Start-ups 13 times.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In addition, in 2015, GIST was selected as an excellent organization for supporting business start-up customized commercialization. In 2016, GIST was also awarded the Minister of Science, ICT and Future Planning (currently the Ministry of Science and IT) Minister's Citation in the field of start-up support group in the Creative Economy Venture Start-up Competition.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In addition, GIST has been selected as the organizer of the Start-up Leap Package for five consecutive years from 2016 and has been selected as the Preliminary Startup Package for three consecutive years from 2019, receiving good evaluations in support for start-ups and performance.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GIST Business Incubator Director Byeong-kwan Cho said, "GIST is actively supporting specialized programs for each start-up stage, such as customized start-up support for consumers, hosting start-up idea contests, and operating mock start-up programs (GSS) and acceleration programs. We will continue to actively support startups to revitalize local specialized industries, including in the field of artificial intelligence (AI)."</w:t>
      </w: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From 2017 to 2019, GIST was selected as the best start-up university for three consecutive years. After winning the Excellence Award in the Start-up Performance category in 2020, it received the Excellence Award in the Start-up Support category this year, standing tall as a prestigious start-up university.</w:t>
      </w:r>
    </w:p>
    <w:p>
      <w:pPr>
        <w:pStyle w:val="Body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"/>
        <w:jc w:val="both"/>
      </w:pPr>
      <w:r>
        <w:rPr>
          <w:rFonts w:ascii="iA Writer Duospace Regular" w:cs="iA Writer Duospace Regular" w:hAnsi="iA Writer Duospace Regular" w:eastAsia="iA Writer Duospace Regular"/>
          <w:sz w:val="20"/>
          <w:szCs w:val="20"/>
        </w:rPr>
        <w:drawing xmlns:a="http://schemas.openxmlformats.org/drawingml/2006/main">
          <wp:inline distT="0" distB="0" distL="0" distR="0">
            <wp:extent cx="548641" cy="308611"/>
            <wp:effectExtent l="0" t="0" r="0" b="0"/>
            <wp:docPr id="1073741826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" descr="Image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1" cy="3086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6"/>
      <w:footerReference w:type="default" r:id="rId7"/>
      <w:pgSz w:w="11906" w:h="16838" w:orient="portrait"/>
      <w:pgMar w:top="720" w:right="720" w:bottom="720" w:left="72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Times Roman">
    <w:charset w:val="00"/>
    <w:family w:val="roman"/>
    <w:pitch w:val="default"/>
  </w:font>
  <w:font w:name="Avenir Heavy">
    <w:charset w:val="00"/>
    <w:family w:val="roman"/>
    <w:pitch w:val="default"/>
  </w:font>
  <w:font w:name="iA Writer Duospace Regular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Roman" w:cs="Arial Unicode MS" w:hAnsi="Times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Times Roman" w:cs="Arial Unicode MS" w:hAnsi="Times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1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Times Roman"/>
        <a:ea typeface="Times Roman"/>
        <a:cs typeface="Times Roman"/>
      </a:majorFont>
      <a:minorFont>
        <a:latin typeface="Times Roman"/>
        <a:ea typeface="Times Roman"/>
        <a:cs typeface="Times Roman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3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Times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Times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