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outline w:val="0"/>
          <w:color w:val="ed220b"/>
          <w:sz w:val="36"/>
          <w:szCs w:val="36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Avenir Heavy" w:hAnsi="Avenir Heavy"/>
          <w:sz w:val="36"/>
          <w:szCs w:val="36"/>
          <w:rtl w:val="0"/>
          <w:lang w:val="en-US"/>
        </w:rPr>
        <w:t>IST successfully completes open intensive education in the field specializing in preliminary start-up packages</w:t>
      </w:r>
    </w:p>
    <w:p>
      <w:pPr>
        <w:pStyle w:val="Body"/>
        <w:rPr>
          <w:rFonts w:ascii="Avenir Heavy" w:cs="Avenir Heavy" w:hAnsi="Avenir Heavy" w:eastAsia="Avenir Heavy"/>
        </w:rPr>
      </w:pP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Various programs are provided to strengthen the capabilities of prospective entrepreneurs and create synergies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drawing xmlns:a="http://schemas.openxmlformats.org/drawingml/2006/main">
          <wp:inline distT="0" distB="0" distL="0" distR="0">
            <wp:extent cx="6620073" cy="4214780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073" cy="4214780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2021 Preliminary Start-up Package open intensive education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(Gwangju Institute of Science and Technology, President Kiseon Kim) successfully utilized the in-house infrastructure to complete the '2021 Preliminary Start-up Package Open Intensive Education' on November 9, 2021.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is supporting and managing the special field (AI field) project for preliminary start-up packages in 2021. For a total of 37 selected prospective founders, following the customized intensive education held on October 1st, the open intensive course was conducted as a non-face-to-face lecture.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provides material and human resources to achieve business start-up commercialization by evaluating the excellence and commercialization potential of business plans with a focus on technology using artificial intelligence.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The open education was conducted in a way that (preliminary) entrepreneurs selected from 24 leading institutions nationwide for the preliminary start-up package were autonomously selecte. The training took a total of 8 hours and conducted between mentors and mentees to include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explainable AI (artificial intelligence modeling methodology, business model cases related to AI services)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machine learning for startup business (machine learning model operation flow, machine learning model learning/evaluation/inference, data set construction and management)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artificial intelligence technology development (artificial intelligence development direction, IOT, block chain, security, connection with metaverse, 4th Industrial Revolution technology and commercialization, and best practices of artificial intelligence companies).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Business Incubator Director Byeong-kwan Cho said, "We will do our best to support prospective entrepreneurs who are preparing to start a business in a difficult time through various open start-up education so that they can achieve successful start-up commercialization."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As follow-up training, IR competency enhancement programs, IR pitching competitions, and 2021 COEX Soft Competition exhibition support programs will be held for founders in the 2021 preliminary start-up package-specialized field from late November to early December.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jc w:val="both"/>
      </w:pPr>
      <w:r>
        <w:rPr>
          <w:rFonts w:ascii="iA Writer Duospace Regular" w:cs="iA Writer Duospace Regular" w:hAnsi="iA Writer Duospace Regular" w:eastAsia="iA Writer Duospace Regular"/>
          <w:sz w:val="20"/>
          <w:szCs w:val="20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6" w:h="16838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3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