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Avenir Heavy" w:cs="Avenir Heavy" w:hAnsi="Avenir Heavy" w:eastAsia="Avenir Heavy"/>
          <w:sz w:val="36"/>
          <w:szCs w:val="36"/>
        </w:rPr>
      </w:pPr>
      <w:r>
        <w:rPr>
          <w:rFonts w:ascii="Avenir Heavy" w:hAnsi="Avenir Heavy"/>
          <w:outline w:val="0"/>
          <w:color w:val="ed220b"/>
          <w:sz w:val="36"/>
          <w:szCs w:val="36"/>
          <w:rtl w:val="0"/>
          <w14:textFill>
            <w14:solidFill>
              <w14:srgbClr w14:val="EE220C"/>
            </w14:solidFill>
          </w14:textFill>
        </w:rPr>
        <w:t>G</w:t>
      </w:r>
      <w:r>
        <w:rPr>
          <w:rFonts w:ascii="Avenir Heavy" w:hAnsi="Avenir Heavy"/>
          <w:sz w:val="36"/>
          <w:szCs w:val="36"/>
          <w:rtl w:val="0"/>
          <w:lang w:val="en-US"/>
        </w:rPr>
        <w:t>IST completes preliminary start-up package support seminar for finance and credit education in the field of artificial intelligence</w:t>
      </w:r>
    </w:p>
    <w:p>
      <w:pPr>
        <w:pStyle w:val="Body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Default"/>
        <w:bidi w:val="0"/>
        <w:spacing w:before="0" w:line="240" w:lineRule="auto"/>
        <w:ind w:left="0" w:right="0" w:firstLine="0"/>
        <w:jc w:val="center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t xml:space="preserve">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drawing xmlns:a="http://schemas.openxmlformats.org/drawingml/2006/main">
          <wp:inline distT="0" distB="0" distL="0" distR="0">
            <wp:extent cx="5705673" cy="1726655"/>
            <wp:effectExtent l="0" t="0" r="0" b="0"/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673" cy="1726655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  <w:rtl w:val="0"/>
        </w:rPr>
        <w:t xml:space="preserve"> </w:t>
      </w:r>
    </w:p>
    <w:p>
      <w:pPr>
        <w:pStyle w:val="Body"/>
        <w:jc w:val="center"/>
        <w:rPr>
          <w:rFonts w:ascii="iA Writer Duospace Regular" w:cs="iA Writer Duospace Regular" w:hAnsi="iA Writer Duospace Regular" w:eastAsia="iA Writer Duospace Regular"/>
          <w:sz w:val="18"/>
          <w:szCs w:val="18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18"/>
          <w:szCs w:val="18"/>
          <w:rtl w:val="0"/>
        </w:rPr>
        <w:t>▲</w:t>
      </w:r>
      <w:r>
        <w:rPr>
          <w:rFonts w:ascii="iA Writer Duospace Regular" w:hAnsi="iA Writer Duospace Regular"/>
          <w:sz w:val="18"/>
          <w:szCs w:val="18"/>
          <w:rtl w:val="0"/>
        </w:rPr>
        <w:t xml:space="preserve"> </w:t>
      </w:r>
      <w:r>
        <w:rPr>
          <w:rFonts w:ascii="iA Writer Duospace Regular" w:hAnsi="iA Writer Duospace Regular"/>
          <w:sz w:val="18"/>
          <w:szCs w:val="18"/>
          <w:rtl w:val="0"/>
          <w:lang w:val="en-US"/>
        </w:rPr>
        <w:t>2021 Preliminary Start-up Package Support Project</w:t>
      </w:r>
    </w:p>
    <w:p>
      <w:pPr>
        <w:pStyle w:val="Body"/>
        <w:jc w:val="center"/>
        <w:rPr>
          <w:rFonts w:ascii="iA Writer Duospace Regular" w:cs="iA Writer Duospace Regular" w:hAnsi="iA Writer Duospace Regular" w:eastAsia="iA Writer Duospace Regular"/>
          <w:sz w:val="18"/>
          <w:szCs w:val="18"/>
        </w:rPr>
      </w:pPr>
      <w:r>
        <w:rPr>
          <w:rFonts w:ascii="iA Writer Duospace Regular" w:hAnsi="iA Writer Duospace Regular"/>
          <w:sz w:val="18"/>
          <w:szCs w:val="18"/>
          <w:rtl w:val="0"/>
          <w:lang w:val="en-US"/>
        </w:rPr>
        <w:t>Seminar for Finance and Credit Education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(Gwangju Institute of Science and Technology) and five leading organizations in the Honam and Chungbuk regions successfully hosted the '2021 Preliminary Start-up Package Support Project Seminar for Finance and Credit Education,' which was co-hosted by the Gwangju and Jeonnam Small and Medium Venture Business Administrations.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In particular, GIST specializes in the field of preliminary start-up packages, focusing on technology using artificial intelligence (AI), evaluating the excellence of business items and commercialization potential, and providing material and human resources to commercialize start-ups.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The training was well-received and included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financial education and credit management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funding using guarantees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education on using the online corporate systems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specifying the start-up financing method.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Business Incubator Director Byeong-kwan Cho said, "Even though it is a difficult time to start a business than ever before, we will serve as a guide for successful start-ups so that prospective entrepreneurs can quickly succeed in starting a business by reducing trial and error."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Meanwhile, personnel appointments, labor education, and mentoring for the 2021 preliminary start-up package seminar will be held in mid-October as follow-up training. The program covers the HR management system, labor law system and composition, the four major insurances, experiences of senior companies, and sharing employee training know-how.</w:t>
      </w:r>
    </w:p>
    <w:sectPr>
      <w:headerReference w:type="default" r:id="rId5"/>
      <w:footerReference w:type="default" r:id="rId6"/>
      <w:pgSz w:w="11906" w:h="16838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Times Roman">
    <w:charset w:val="00"/>
    <w:family w:val="roman"/>
    <w:pitch w:val="default"/>
  </w:font>
  <w:font w:name="Avenir Heavy">
    <w:charset w:val="00"/>
    <w:family w:val="roman"/>
    <w:pitch w:val="default"/>
  </w:font>
  <w:font w:name="iA Writer Duospace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Roman"/>
        <a:ea typeface="Times Roman"/>
        <a:cs typeface="Times Roman"/>
      </a:majorFont>
      <a:minorFont>
        <a:latin typeface="Times Roman"/>
        <a:ea typeface="Times Roman"/>
        <a:cs typeface="Times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3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