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 Seung Su,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2021.03.04</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 Seung Su,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2021.03.04</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signed a business agreement with the Pyeongdong Industrial Complex Operation Council to</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revitalize local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held a business agreement ceremony (MoU) on March 4, 2021, with the Pyeongdong Industrial Complex Management Council (Chairman Bo-gon Kim) to revitalize local industries such by participating in industry-academia cooperation projects and by training skilled specialists.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signing ceremony was held at GIST with GIST President Kiseon Kim, Pyeongdong In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dustrial Complex Management Council Chairman Bo-gon Kim, and key officials in attendance.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Contents of the agreement includes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joint participation in government industry-university cooperation support projects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mentoring management advisors and supporting network deployment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joint use of S/W and H/W owned by the institution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operating programs and field training to develop customized human resources and support the revitalization of start-ups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personnel exchanges with GIST Artificial Intelligence Research Center and AI Graduate School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other details necessary to promote exchange and cooperation were included.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President Kiseon Kim said, "GIST and the local community will grow together in the future through a friendly cooperative relationship with the Pyeongdong Industrial Complex, which is the representative industrial complex in our region. GIST will actively cooperate and provide generous support for the development of local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Pyeongdong Industrial Complex Management Council Chairman Bo-gon Kim said, "Through the business agreement with GIST, the compa</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nies in the Pyeongdong Industrial Complex are expected to be reborn as smart factories. We are thankful for GIST's active cooperation."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has recently taken the lead in regional development and training local specialists by signing business agreements with organizations in the Gwangju-Jeonnam region, such as the Gwangju Social Service Institute, the Gwangju Design Promotion Institute, KEPCO KDN, and the Gwangju Metropolitan Council for Sustainable Development.</w:t>
      </w:r>
      <w:r>
        <w:rPr>
          <w:rFonts w:ascii="Iowan Old Style Roman" w:cs="Iowan Old Style Roman" w:hAnsi="Iowan Old Style Roman" w:eastAsia="Iowan Old Style Roman"/>
        </w:rPr>
        <w:br w:type="textWrapping"/>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2image18207616.jpg"/>
                    <pic:cNvPicPr>
                      <a:picLocks noChangeAspect="1"/>
                    </pic:cNvPicPr>
                  </pic:nvPicPr>
                  <pic:blipFill>
                    <a:blip r:embed="rId8">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signs an MoU with the Pyeongdong Industrial Complex Management Council</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to revitalize local industries such by participating in industry-academia</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cooperation projects and by training skilled specialists</w:t>
      </w:r>
    </w:p>
    <w:p>
      <w:pPr>
        <w:pStyle w:val="Body"/>
        <w:spacing w:before="0" w:line="288" w:lineRule="auto"/>
        <w:jc w:val="left"/>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From left: AI Graduate School Dean Jong</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Won Kim, GIST Institute for Artificial </w:t>
      </w:r>
      <w:r>
        <w:rPr>
          <w:rFonts w:ascii="Iowan Old Style Roman" w:hAnsi="Iowan Old Style Roman"/>
          <w:sz w:val="20"/>
          <w:szCs w:val="20"/>
          <w:rtl w:val="0"/>
          <w:lang w:val="en-US"/>
        </w:rPr>
        <w:t>Intelligence</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Director Heung-No Lee, President Kiseon Kim, Pyeongdong Industrial Complex Management Council Chairman Bo-gon Kim, and Pyeongdong Industrial Complex Management</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Council Secretary-General Hee-sul Park</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