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Seung Su You,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Seung Su You,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2020.12.17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ff2600"/>
          <w:sz w:val="32"/>
          <w:szCs w:val="32"/>
          <w:rtl w:val="0"/>
          <w14:textFill>
            <w14:solidFill>
              <w14:srgbClr w14:val="FF2600"/>
            </w14:solidFill>
          </w14:textFill>
        </w:rPr>
        <w:t>G</w:t>
      </w:r>
      <w:r>
        <w:rPr>
          <w:rFonts w:ascii="Iowan Old Style Roman" w:hAnsi="Iowan Old Style Roman"/>
          <w:sz w:val="32"/>
          <w:szCs w:val="32"/>
          <w:rtl w:val="0"/>
          <w:lang w:val="en-US"/>
        </w:rPr>
        <w:t>IST signs</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agreement with the Gwangju Institute of Design Promotion for integrated design research and industrialization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signed a business agreement on December 16 with the Gwangju Institute of Design Promotion (Director Sung-ho Wi) for the promotion of local industries and the development of both organizations for the popularization of design.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agreement ceremony was held via video conference at each organization with the attenda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nce of GIST President Kiseon Kim, Gwangju Institute of Design Promotion Director Sung-ho Wi, and other officials.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main contents of the agreement includes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joint discovery and implementation of artificial intelligence industry-related projects in Gwangju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participation in joint projects (research, exhibition, and events) related to the Gwangju Design Biennale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joint discovery and implementation of the central government public project proposals (convergence research, dissemination/distribution)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matters related to joint public relations between the two organizations.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Kiseon Kim said, "This business agreement is expected to have a positive effect on industrialization of design and fostering regional flagship industries for public experience and enjoyment of design, such as holding the Gwangju Design Biennale. In the future, we will actively pursue joint projects for regional development, such as design convergence research, which will be based on various exchanges and cooperation."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Gwangju Institute of Design Promotion Director Sung-ho Wi said, "The Gwangju Design Biennale is solidifying its position as an international event in Gwangju. During the 2021 Gwangju Design Biennale (theme:'D-Revolution'), we will try to attract visitors so that foreign students can also visit the Design Biennale."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58348000.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signed a business agreement with the Gwangju Institute of Design Promotion (From left: Gwangju Institute of Design Promotion Education Event Team Leader Yoon-joo Jung, Planning and Management Division Director Min-seok Yoon, Design Invitational Headquarters Director Jang-Gyu 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ho, Director Sang-Ho Wi, GIST President Kim Ki-seon, Vice President for Public Affairs Young-jip Kim, and Office of International and Public Affairs Dean Sung-Gyoo Park)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454822" cy="303215"/>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454822" cy="303215"/>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r>
      <w:rPr>
        <w:rFonts w:ascii="Dot Matrix Normal" w:cs="Arial Unicode MS" w:hAnsi="Dot Matrix Normal" w:eastAsia="Arial Unicode MS"/>
        <w:b w:val="0"/>
        <w:bCs w:val="0"/>
        <w:i w:val="0"/>
        <w:iCs w:val="0"/>
        <w:sz w:val="14"/>
        <w:szCs w:val="14"/>
        <w:rtl w:val="0"/>
        <w:lang w:val="en-US"/>
      </w:rPr>
      <w:t xml:space="preserve"> </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