
<file path=[Content_Types].xml><?xml version="1.0" encoding="utf-8"?>
<Types xmlns="http://schemas.openxmlformats.org/package/2006/content-types">
  <Default Extension="xml" ContentType="application/xml"/>
  <Default Extension="rels" ContentType="application/vnd.openxmlformats-package.relationships+xml"/>
  <Default Extension="jpeg" ContentType="image/jpg"/>
  <Default Extension="png" ContentType="image/png"/>
  <Default Extension="bmp" ContentType="image/bmp"/>
  <Default Extension="gif" ContentType="image/gif"/>
  <Default Extension="tif" ContentType="image/tif"/>
  <Default Extension="pdf" ContentType="application/pdf"/>
  <Default Extension="mov" ContentType="application/movie"/>
  <Default Extension="vml" ContentType="application/vnd.openxmlformats-officedocument.vmlDrawing"/>
  <Default Extension="xlsx" ContentType="application/vnd.openxmlformats-officedocument.spreadsheetml.sheet"/>
  <Override PartName="/docProps/core.xml" ContentType="application/vnd.openxmlformats-package.core-properties+xml"/>
  <Override PartName="/docProps/app.xml" ContentType="application/vnd.openxmlformats-officedocument.extended-properties+xml"/>
  <Override PartName="/word/document.xml" ContentType="application/vnd.openxmlformats-officedocument.wordprocessingml.document.main+xml"/>
  <Override PartName="/word/settings.xml" ContentType="application/vnd.openxmlformats-officedocument.wordprocessingml.settings+xml"/>
  <Override PartName="/word/fontTable.xml" ContentType="application/vnd.openxmlformats-officedocument.wordprocessingml.fontTable+xml"/>
  <Override PartName="/word/styles.xml" ContentType="application/vnd.openxmlformats-officedocument.wordprocessingml.styles+xml"/>
  <Override PartName="/word/media/image1.jpeg" ContentType="image/jpeg"/>
  <Override PartName="/word/header1.xml" ContentType="application/vnd.openxmlformats-officedocument.wordprocessingml.header+xml"/>
  <Override PartName="/word/footer1.xml" ContentType="application/vnd.openxmlformats-officedocument.wordprocessingml.footer+xml"/>
  <Override PartName="/word/theme/theme1.xml" ContentType="application/vnd.openxmlformats-officedocument.theme+xml"/>
</Types>
</file>

<file path=_rels/.rels><?xml version="1.0" encoding="UTF-8"?>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officeDocument" Target="word/document.xml"/></Relationships>

</file>

<file path=word/document.xml><?xml version="1.0" encoding="utf-8"?>
<w:document xmlns:r="http://schemas.openxmlformats.org/officeDocument/2006/relationships" xmlns:wp="http://schemas.openxmlformats.org/drawingml/2006/wordprocessingDrawing" xmlns:w="http://schemas.openxmlformats.org/wordprocessingml/2006/main" xmlns:w10="urn:schemas-microsoft-com:office:word" xmlns:w14="http://schemas.microsoft.com/office/word/2010/wordml" xmlns:wps="http://schemas.microsoft.com/office/word/2010/wordprocessingShape" xmlns:wpg="http://schemas.microsoft.com/office/word/2010/wordprocessingGroup" xmlns:mc="http://schemas.openxmlformats.org/markup-compatibility/2006" xmlns:v="urn:schemas-microsoft-com:vml" xmlns:o="urn:schemas-microsoft-com:office:office" xmlns:m="http://schemas.openxmlformats.org/officeDocument/2006/math" mc:Ignorable="w14">
  <w:body>
    <w:p>
      <w:pPr>
        <w:pStyle w:val="Body"/>
        <w:jc w:val="both"/>
        <w:rPr>
          <w:rFonts w:ascii="Noto Serif KR ExtraLight Medium" w:cs="Noto Serif KR ExtraLight Medium" w:hAnsi="Noto Serif KR ExtraLight Medium" w:eastAsia="Noto Serif KR ExtraLight Medium"/>
          <w:sz w:val="32"/>
          <w:szCs w:val="32"/>
        </w:rPr>
      </w:pPr>
      <w:r>
        <w:rPr>
          <w:rFonts w:ascii="Noto Serif KR ExtraLight Medium" w:hAnsi="Noto Serif KR ExtraLight Medium"/>
          <w:outline w:val="0"/>
          <w:color w:val="ff2600"/>
          <w:sz w:val="32"/>
          <w:szCs w:val="32"/>
          <w:rtl w:val="0"/>
          <w:lang w:val="en-US"/>
          <w14:textFill>
            <w14:solidFill>
              <w14:srgbClr w14:val="FF2600"/>
            </w14:solidFill>
          </w14:textFill>
        </w:rPr>
        <w:t>G</w:t>
      </w:r>
      <w:r>
        <w:rPr>
          <w:rFonts w:ascii="Noto Serif KR ExtraLight Medium" w:hAnsi="Noto Serif KR ExtraLight Medium"/>
          <w:sz w:val="32"/>
          <w:szCs w:val="32"/>
          <w:rtl w:val="0"/>
          <w:lang w:val="en-US"/>
        </w:rPr>
        <w:t xml:space="preserve">IST </w:t>
      </w:r>
      <w:r>
        <w:rPr>
          <w:rFonts w:ascii="Noto Serif KR ExtraLight Medium" w:hAnsi="Noto Serif KR ExtraLight Medium"/>
          <w:sz w:val="32"/>
          <w:szCs w:val="32"/>
          <w:rtl w:val="0"/>
          <w:lang w:val="en-US"/>
        </w:rPr>
        <w:t>Professor Minjae Lee wins Academic Award at the 5th Haedong Semiconductor Engineering Award</w:t>
      </w:r>
    </w:p>
    <w:p>
      <w:pPr>
        <w:pStyle w:val="Body"/>
        <w:jc w:val="both"/>
        <w:rPr>
          <w:rFonts w:ascii="Noto Serif KR ExtraLight Regular" w:cs="Noto Serif KR ExtraLight Regular" w:hAnsi="Noto Serif KR ExtraLight Regular" w:eastAsia="Noto Serif KR ExtraLight Regular"/>
          <w:sz w:val="20"/>
          <w:szCs w:val="20"/>
        </w:rPr>
      </w:pPr>
    </w:p>
    <w:p>
      <w:pPr>
        <w:pStyle w:val="Body"/>
        <w:pBdr>
          <w:top w:val="single" w:color="c0c0c0" w:sz="16" w:space="6" w:shadow="0" w:frame="0"/>
          <w:left w:val="single" w:color="c0c0c0" w:sz="16" w:space="6" w:shadow="0" w:frame="0"/>
          <w:bottom w:val="single" w:color="c0c0c0" w:sz="16" w:space="6" w:shadow="0" w:frame="0"/>
          <w:right w:val="single" w:color="c0c0c0" w:sz="16" w:space="6" w:shadow="0" w:frame="0"/>
        </w:pBdr>
        <w:shd w:val="clear" w:color="auto" w:fill="eaeaea"/>
        <w:jc w:val="both"/>
        <w:rPr>
          <w:rFonts w:ascii="Noto Serif KR ExtraLight Regular" w:cs="Noto Serif KR ExtraLight Regular" w:hAnsi="Noto Serif KR ExtraLight Regular" w:eastAsia="Noto Serif KR ExtraLight Regular"/>
          <w:sz w:val="20"/>
          <w:szCs w:val="20"/>
        </w:rPr>
      </w:pPr>
      <w:r>
        <w:rPr>
          <w:rFonts w:ascii="Noto Serif KR ExtraLight Regular" w:hAnsi="Noto Serif KR ExtraLight Regular"/>
          <w:sz w:val="20"/>
          <w:szCs w:val="20"/>
          <w:rtl w:val="0"/>
          <w:lang w:val="en-US"/>
        </w:rPr>
        <w:t>- Professor Minjae Lee of the Department of Electrical Engineering and Computer Science was recognized for his academic excellence and industrial practicality in research on core semiconductor circuit technology... The award, presented by the Korean Society of Semiconductor Engineers, is given to mid-career scientists under the age of 49 who have contributed to the advancement of semiconductor technology</w:t>
      </w:r>
    </w:p>
    <w:p>
      <w:pPr>
        <w:pStyle w:val="Body"/>
        <w:pBdr>
          <w:top w:val="single" w:color="c0c0c0" w:sz="16" w:space="6" w:shadow="0" w:frame="0"/>
          <w:left w:val="single" w:color="c0c0c0" w:sz="16" w:space="6" w:shadow="0" w:frame="0"/>
          <w:bottom w:val="single" w:color="c0c0c0" w:sz="16" w:space="6" w:shadow="0" w:frame="0"/>
          <w:right w:val="single" w:color="c0c0c0" w:sz="16" w:space="6" w:shadow="0" w:frame="0"/>
        </w:pBdr>
        <w:shd w:val="clear" w:color="auto" w:fill="eaeaea"/>
        <w:jc w:val="both"/>
        <w:rPr>
          <w:rFonts w:ascii="Noto Serif KR ExtraLight Regular" w:cs="Noto Serif KR ExtraLight Regular" w:hAnsi="Noto Serif KR ExtraLight Regular" w:eastAsia="Noto Serif KR ExtraLight Regular"/>
          <w:sz w:val="20"/>
          <w:szCs w:val="20"/>
        </w:rPr>
      </w:pPr>
    </w:p>
    <w:p>
      <w:pPr>
        <w:pStyle w:val="Body"/>
        <w:pBdr>
          <w:top w:val="single" w:color="c0c0c0" w:sz="16" w:space="6" w:shadow="0" w:frame="0"/>
          <w:left w:val="single" w:color="c0c0c0" w:sz="16" w:space="6" w:shadow="0" w:frame="0"/>
          <w:bottom w:val="single" w:color="c0c0c0" w:sz="16" w:space="6" w:shadow="0" w:frame="0"/>
          <w:right w:val="single" w:color="c0c0c0" w:sz="16" w:space="6" w:shadow="0" w:frame="0"/>
        </w:pBdr>
        <w:shd w:val="clear" w:color="auto" w:fill="eaeaea"/>
        <w:jc w:val="both"/>
        <w:rPr>
          <w:rFonts w:ascii="Noto Serif KR ExtraLight Regular" w:cs="Noto Serif KR ExtraLight Regular" w:hAnsi="Noto Serif KR ExtraLight Regular" w:eastAsia="Noto Serif KR ExtraLight Regular"/>
          <w:sz w:val="20"/>
          <w:szCs w:val="20"/>
        </w:rPr>
      </w:pPr>
      <w:r>
        <w:rPr>
          <w:rFonts w:ascii="Noto Serif KR ExtraLight Regular" w:hAnsi="Noto Serif KR ExtraLight Regular"/>
          <w:sz w:val="20"/>
          <w:szCs w:val="20"/>
          <w:rtl w:val="0"/>
          <w:lang w:val="en-US"/>
        </w:rPr>
        <w:t>- Proven global research influence, with over 100 published research papers, over 3,000 citations, and ranking among the world's top 2% of researchers... Contributing to strengthening the nation's semiconductor competitiveness through creative research and industry-academia collaboration</w:t>
      </w:r>
    </w:p>
    <w:p>
      <w:pPr>
        <w:pStyle w:val="Body"/>
        <w:jc w:val="both"/>
        <w:rPr>
          <w:rFonts w:ascii="Noto Serif KR ExtraLight Regular" w:cs="Noto Serif KR ExtraLight Regular" w:hAnsi="Noto Serif KR ExtraLight Regular" w:eastAsia="Noto Serif KR ExtraLight Regular"/>
          <w:sz w:val="20"/>
          <w:szCs w:val="20"/>
        </w:rPr>
      </w:pPr>
    </w:p>
    <w:p>
      <w:pPr>
        <w:pStyle w:val="Body"/>
        <w:jc w:val="both"/>
        <w:rPr>
          <w:rFonts w:ascii="Noto Serif KR ExtraLight Regular" w:cs="Noto Serif KR ExtraLight Regular" w:hAnsi="Noto Serif KR ExtraLight Regular" w:eastAsia="Noto Serif KR ExtraLight Regular"/>
          <w:sz w:val="16"/>
          <w:szCs w:val="16"/>
        </w:rPr>
      </w:pPr>
      <w:r>
        <w:rPr>
          <w:rFonts w:ascii="Noto Serif KR ExtraLight Regular" w:cs="Noto Serif KR ExtraLight Regular" w:hAnsi="Noto Serif KR ExtraLight Regular" w:eastAsia="Noto Serif KR ExtraLight Regular"/>
          <w:sz w:val="16"/>
          <w:szCs w:val="16"/>
        </w:rPr>
        <w:drawing xmlns:a="http://schemas.openxmlformats.org/drawingml/2006/main">
          <wp:inline distT="0" distB="0" distL="0" distR="0">
            <wp:extent cx="6645473" cy="2992468"/>
            <wp:effectExtent l="0" t="0" r="0" b="0"/>
            <wp:docPr id="1073741825" name="officeArt object" descr="Image.jpg"/>
            <wp:cNvGraphicFramePr/>
            <a:graphic xmlns:a="http://schemas.openxmlformats.org/drawingml/2006/main">
              <a:graphicData uri="http://schemas.openxmlformats.org/drawingml/2006/picture">
                <pic:pic xmlns:pic="http://schemas.openxmlformats.org/drawingml/2006/picture">
                  <pic:nvPicPr>
                    <pic:cNvPr id="1073741825" name="Image.jpg" descr="Image.jpg"/>
                    <pic:cNvPicPr>
                      <a:picLocks noChangeAspect="1"/>
                    </pic:cNvPicPr>
                  </pic:nvPicPr>
                  <pic:blipFill>
                    <a:blip r:embed="rId4">
                      <a:extLst/>
                    </a:blip>
                    <a:srcRect l="0" t="0" r="0" b="0"/>
                    <a:stretch>
                      <a:fillRect/>
                    </a:stretch>
                  </pic:blipFill>
                  <pic:spPr>
                    <a:xfrm>
                      <a:off x="0" y="0"/>
                      <a:ext cx="6645473" cy="2992468"/>
                    </a:xfrm>
                    <a:prstGeom prst="rect">
                      <a:avLst/>
                    </a:prstGeom>
                    <a:ln w="12700" cap="flat">
                      <a:noFill/>
                      <a:miter lim="400000"/>
                    </a:ln>
                    <a:effectLst>
                      <a:outerShdw sx="100000" sy="100000" kx="0" ky="0" algn="b" rotWithShape="0" blurRad="38100" dist="38100" dir="2700000">
                        <a:srgbClr val="000000">
                          <a:alpha val="25000"/>
                        </a:srgbClr>
                      </a:outerShdw>
                    </a:effectLst>
                  </pic:spPr>
                </pic:pic>
              </a:graphicData>
            </a:graphic>
          </wp:inline>
        </w:drawing>
      </w:r>
    </w:p>
    <w:p>
      <w:pPr>
        <w:pStyle w:val="Body"/>
        <w:jc w:val="both"/>
        <w:rPr>
          <w:rFonts w:ascii="Noto Serif KR ExtraLight Regular" w:cs="Noto Serif KR ExtraLight Regular" w:hAnsi="Noto Serif KR ExtraLight Regular" w:eastAsia="Noto Serif KR ExtraLight Regular"/>
          <w:sz w:val="16"/>
          <w:szCs w:val="16"/>
        </w:rPr>
      </w:pPr>
    </w:p>
    <w:p>
      <w:pPr>
        <w:pStyle w:val="Body"/>
        <w:jc w:val="both"/>
        <w:rPr>
          <w:rFonts w:ascii="Noto Serif KR ExtraLight Regular" w:cs="Noto Serif KR ExtraLight Regular" w:hAnsi="Noto Serif KR ExtraLight Regular" w:eastAsia="Noto Serif KR ExtraLight Regular"/>
          <w:sz w:val="16"/>
          <w:szCs w:val="16"/>
        </w:rPr>
      </w:pPr>
      <w:r>
        <w:rPr>
          <w:rFonts w:ascii="Noto Serif KR ExtraLight Regular" w:hAnsi="Noto Serif KR ExtraLight Regular" w:hint="default"/>
          <w:sz w:val="16"/>
          <w:szCs w:val="16"/>
          <w:rtl w:val="0"/>
        </w:rPr>
        <w:t xml:space="preserve">▲ </w:t>
      </w:r>
      <w:r>
        <w:rPr>
          <w:rFonts w:ascii="Noto Serif KR ExtraLight Regular" w:hAnsi="Noto Serif KR ExtraLight Regular"/>
          <w:sz w:val="16"/>
          <w:szCs w:val="16"/>
          <w:rtl w:val="0"/>
          <w:lang w:val="en-US"/>
        </w:rPr>
        <w:t>Professor Minjae Lee of the Department of Electrical Engineering and Computer Science at GIST poses for a commemorative photo after receiving the Haedong Semiconductor Engineering Award (Academic Award) at the Park Hyatt Seoul in Gangnam-gu, Seoul on November 27th. (From left) Hyun-chul Shin, President of the Korean Society of Semiconductor Engineering; Professor Minjae Lee of GIST; and Young-jae Kim, Chairman of the Haedong Science and Culture Foundation.</w:t>
      </w:r>
    </w:p>
    <w:p>
      <w:pPr>
        <w:pStyle w:val="Body"/>
        <w:jc w:val="both"/>
        <w:rPr>
          <w:rFonts w:ascii="Noto Serif KR ExtraLight Regular" w:cs="Noto Serif KR ExtraLight Regular" w:hAnsi="Noto Serif KR ExtraLight Regular" w:eastAsia="Noto Serif KR ExtraLight Regular"/>
          <w:sz w:val="20"/>
          <w:szCs w:val="20"/>
        </w:rPr>
      </w:pPr>
    </w:p>
    <w:p>
      <w:pPr>
        <w:pStyle w:val="Body"/>
        <w:jc w:val="both"/>
        <w:rPr>
          <w:rFonts w:ascii="Noto Serif KR ExtraLight Regular" w:cs="Noto Serif KR ExtraLight Regular" w:hAnsi="Noto Serif KR ExtraLight Regular" w:eastAsia="Noto Serif KR ExtraLight Regular"/>
          <w:sz w:val="20"/>
          <w:szCs w:val="20"/>
        </w:rPr>
      </w:pPr>
      <w:r>
        <w:rPr>
          <w:rFonts w:ascii="Noto Serif KR ExtraLight Regular" w:hAnsi="Noto Serif KR ExtraLight Regular"/>
          <w:sz w:val="20"/>
          <w:szCs w:val="20"/>
          <w:rtl w:val="0"/>
          <w:lang w:val="en-US"/>
        </w:rPr>
        <w:t>The Gwangju Institute of Science and Technology (GIST, President Kichul Lim) announced that Professor Minjae Lee of the Department of Electrical Engineering and Computer Science received the Academic Award at the 5th Haedong Semiconductor Engineering Award ceremony hosted by the Korean Society of Semiconductor Engineering.</w:t>
      </w:r>
    </w:p>
    <w:p>
      <w:pPr>
        <w:pStyle w:val="Body"/>
        <w:jc w:val="both"/>
        <w:rPr>
          <w:rFonts w:ascii="Noto Serif KR ExtraLight Regular" w:cs="Noto Serif KR ExtraLight Regular" w:hAnsi="Noto Serif KR ExtraLight Regular" w:eastAsia="Noto Serif KR ExtraLight Regular"/>
          <w:sz w:val="20"/>
          <w:szCs w:val="20"/>
        </w:rPr>
      </w:pPr>
    </w:p>
    <w:p>
      <w:pPr>
        <w:pStyle w:val="Body"/>
        <w:jc w:val="both"/>
        <w:rPr>
          <w:rFonts w:ascii="Noto Serif KR ExtraLight Regular" w:cs="Noto Serif KR ExtraLight Regular" w:hAnsi="Noto Serif KR ExtraLight Regular" w:eastAsia="Noto Serif KR ExtraLight Regular"/>
          <w:sz w:val="20"/>
          <w:szCs w:val="20"/>
        </w:rPr>
      </w:pPr>
      <w:r>
        <w:rPr>
          <w:rFonts w:ascii="Noto Serif KR ExtraLight Regular" w:hAnsi="Noto Serif KR ExtraLight Regular"/>
          <w:sz w:val="20"/>
          <w:szCs w:val="20"/>
          <w:rtl w:val="0"/>
          <w:lang w:val="en-US"/>
        </w:rPr>
        <w:t>The Haedong Semiconductor Engineering Award was established by the Haedong Science and Culture Foundation in accordance with the will of the late Jung-sik Kim, Chairman of Daedeok Electronics. It is presented by the Korean Society of Semiconductor Engineering to a mid-career scientist (engineer) under the age of 49 who has made significant contributions to the advancement of semiconductor-related academics and technology. Considered one of the most prestigious awards in the semiconductor field, each year one individual is selected for the Academic Award and one for the Technology Award. This year's Technology Award went to Jun-ho Baek, CEO of FuriosaAI.</w:t>
      </w:r>
    </w:p>
    <w:p>
      <w:pPr>
        <w:pStyle w:val="Body"/>
        <w:jc w:val="both"/>
        <w:rPr>
          <w:rFonts w:ascii="Noto Serif KR ExtraLight Regular" w:cs="Noto Serif KR ExtraLight Regular" w:hAnsi="Noto Serif KR ExtraLight Regular" w:eastAsia="Noto Serif KR ExtraLight Regular"/>
          <w:sz w:val="20"/>
          <w:szCs w:val="20"/>
        </w:rPr>
      </w:pPr>
    </w:p>
    <w:p>
      <w:pPr>
        <w:pStyle w:val="Body"/>
        <w:jc w:val="both"/>
        <w:rPr>
          <w:rFonts w:ascii="Noto Serif KR ExtraLight Regular" w:cs="Noto Serif KR ExtraLight Regular" w:hAnsi="Noto Serif KR ExtraLight Regular" w:eastAsia="Noto Serif KR ExtraLight Regular"/>
          <w:sz w:val="20"/>
          <w:szCs w:val="20"/>
        </w:rPr>
      </w:pPr>
      <w:r>
        <w:rPr>
          <w:rFonts w:ascii="Noto Serif KR ExtraLight Regular" w:hAnsi="Noto Serif KR ExtraLight Regular"/>
          <w:sz w:val="20"/>
          <w:szCs w:val="20"/>
          <w:rtl w:val="0"/>
          <w:lang w:val="en-US"/>
        </w:rPr>
        <w:t>The Korean Society of Semiconductor Engineers (KSSE), launched in 2017, is Korea's first semiconductor-specific academic society. It focuses on technological exchange, global joint research, and the development of specialized talent through collaboration between industry, academia, and research.</w:t>
      </w:r>
    </w:p>
    <w:p>
      <w:pPr>
        <w:pStyle w:val="Body"/>
        <w:jc w:val="both"/>
        <w:rPr>
          <w:rFonts w:ascii="Noto Serif KR ExtraLight Regular" w:cs="Noto Serif KR ExtraLight Regular" w:hAnsi="Noto Serif KR ExtraLight Regular" w:eastAsia="Noto Serif KR ExtraLight Regular"/>
          <w:sz w:val="20"/>
          <w:szCs w:val="20"/>
        </w:rPr>
      </w:pPr>
    </w:p>
    <w:p>
      <w:pPr>
        <w:pStyle w:val="Body"/>
        <w:jc w:val="both"/>
        <w:rPr>
          <w:rFonts w:ascii="Noto Serif KR ExtraLight Regular" w:cs="Noto Serif KR ExtraLight Regular" w:hAnsi="Noto Serif KR ExtraLight Regular" w:eastAsia="Noto Serif KR ExtraLight Regular"/>
          <w:sz w:val="20"/>
          <w:szCs w:val="20"/>
        </w:rPr>
      </w:pPr>
      <w:r>
        <w:rPr>
          <w:rFonts w:ascii="Noto Serif KR ExtraLight Regular" w:hAnsi="Noto Serif KR ExtraLight Regular"/>
          <w:sz w:val="20"/>
          <w:szCs w:val="20"/>
          <w:rtl w:val="0"/>
          <w:lang w:val="en-US"/>
        </w:rPr>
        <w:t>This year's awards ceremony took place following the "2025 KSSE Annual General Meeting," held at the Park Hyatt Seoul in Gangnam-gu, Seoul on Thursday, November 27th.</w:t>
      </w:r>
    </w:p>
    <w:p>
      <w:pPr>
        <w:pStyle w:val="Body"/>
        <w:jc w:val="both"/>
        <w:rPr>
          <w:rFonts w:ascii="Noto Serif KR ExtraLight Regular" w:cs="Noto Serif KR ExtraLight Regular" w:hAnsi="Noto Serif KR ExtraLight Regular" w:eastAsia="Noto Serif KR ExtraLight Regular"/>
          <w:sz w:val="20"/>
          <w:szCs w:val="20"/>
        </w:rPr>
      </w:pPr>
    </w:p>
    <w:p>
      <w:pPr>
        <w:pStyle w:val="Body"/>
        <w:jc w:val="both"/>
        <w:rPr>
          <w:rFonts w:ascii="Noto Serif KR ExtraLight Regular" w:cs="Noto Serif KR ExtraLight Regular" w:hAnsi="Noto Serif KR ExtraLight Regular" w:eastAsia="Noto Serif KR ExtraLight Regular"/>
          <w:sz w:val="20"/>
          <w:szCs w:val="20"/>
        </w:rPr>
      </w:pPr>
      <w:r>
        <w:rPr>
          <w:rFonts w:ascii="Noto Serif KR ExtraLight Regular" w:hAnsi="Noto Serif KR ExtraLight Regular"/>
          <w:sz w:val="20"/>
          <w:szCs w:val="20"/>
          <w:rtl w:val="0"/>
          <w:lang w:val="en-US"/>
        </w:rPr>
        <w:t>Since joining GIST in 2012, Professor Minjae Lee has accumulated creative and sustained research achievements in the field of semiconductor design.</w:t>
      </w:r>
    </w:p>
    <w:p>
      <w:pPr>
        <w:pStyle w:val="Body"/>
        <w:jc w:val="both"/>
        <w:rPr>
          <w:rFonts w:ascii="Noto Serif KR ExtraLight Regular" w:cs="Noto Serif KR ExtraLight Regular" w:hAnsi="Noto Serif KR ExtraLight Regular" w:eastAsia="Noto Serif KR ExtraLight Regular"/>
          <w:sz w:val="20"/>
          <w:szCs w:val="20"/>
        </w:rPr>
      </w:pPr>
    </w:p>
    <w:p>
      <w:pPr>
        <w:pStyle w:val="Body"/>
        <w:jc w:val="both"/>
        <w:rPr>
          <w:rFonts w:ascii="Noto Serif KR ExtraLight Regular" w:cs="Noto Serif KR ExtraLight Regular" w:hAnsi="Noto Serif KR ExtraLight Regular" w:eastAsia="Noto Serif KR ExtraLight Regular"/>
          <w:sz w:val="20"/>
          <w:szCs w:val="20"/>
        </w:rPr>
      </w:pPr>
      <w:r>
        <w:rPr>
          <w:rFonts w:ascii="Noto Serif KR ExtraLight Regular" w:hAnsi="Noto Serif KR ExtraLight Regular"/>
          <w:sz w:val="20"/>
          <w:szCs w:val="20"/>
          <w:rtl w:val="0"/>
          <w:lang w:val="en-US"/>
        </w:rPr>
        <w:t>He was selected as the recipient of this academic award for his academic excellence and industrial practicality in key semiconductor circuit areas, including time-frequency conversion circuits, analog-to-digital conversion circuits, and display and interface circuits.</w:t>
      </w:r>
    </w:p>
    <w:p>
      <w:pPr>
        <w:pStyle w:val="Body"/>
        <w:jc w:val="both"/>
        <w:rPr>
          <w:rFonts w:ascii="Noto Serif KR ExtraLight Regular" w:cs="Noto Serif KR ExtraLight Regular" w:hAnsi="Noto Serif KR ExtraLight Regular" w:eastAsia="Noto Serif KR ExtraLight Regular"/>
          <w:sz w:val="20"/>
          <w:szCs w:val="20"/>
        </w:rPr>
      </w:pPr>
    </w:p>
    <w:p>
      <w:pPr>
        <w:pStyle w:val="Body"/>
        <w:jc w:val="both"/>
        <w:rPr>
          <w:rFonts w:ascii="Noto Serif KR ExtraLight Regular" w:cs="Noto Serif KR ExtraLight Regular" w:hAnsi="Noto Serif KR ExtraLight Regular" w:eastAsia="Noto Serif KR ExtraLight Regular"/>
          <w:sz w:val="20"/>
          <w:szCs w:val="20"/>
        </w:rPr>
      </w:pPr>
      <w:r>
        <w:rPr>
          <w:rFonts w:ascii="Noto Serif KR ExtraLight Regular" w:hAnsi="Noto Serif KR ExtraLight Regular"/>
          <w:sz w:val="20"/>
          <w:szCs w:val="20"/>
          <w:rtl w:val="0"/>
          <w:lang w:val="en-US"/>
        </w:rPr>
        <w:t>Professor Lee has published over 100 research papers, including presentations at international conferences and journals, and domestic and international patents, earning over 3,000 cumulative citations. Furthermore, he has proven his international influence by being included in the Stanford-Elsevier World's Top 2% Scientists list for two consecutive years (2023 and 2024), jointly published by Stanford University and the global academic information analytics company Elsevier.</w:t>
      </w:r>
    </w:p>
    <w:p>
      <w:pPr>
        <w:pStyle w:val="Body"/>
        <w:jc w:val="both"/>
        <w:rPr>
          <w:rFonts w:ascii="Noto Serif KR ExtraLight Regular" w:cs="Noto Serif KR ExtraLight Regular" w:hAnsi="Noto Serif KR ExtraLight Regular" w:eastAsia="Noto Serif KR ExtraLight Regular"/>
          <w:sz w:val="20"/>
          <w:szCs w:val="20"/>
        </w:rPr>
      </w:pPr>
    </w:p>
    <w:p>
      <w:pPr>
        <w:pStyle w:val="Body"/>
        <w:jc w:val="both"/>
        <w:rPr>
          <w:rFonts w:ascii="Noto Serif KR ExtraLight Regular" w:cs="Noto Serif KR ExtraLight Regular" w:hAnsi="Noto Serif KR ExtraLight Regular" w:eastAsia="Noto Serif KR ExtraLight Regular"/>
          <w:sz w:val="20"/>
          <w:szCs w:val="20"/>
        </w:rPr>
      </w:pPr>
      <w:r>
        <w:rPr>
          <w:rFonts w:ascii="Noto Serif KR ExtraLight Regular" w:hAnsi="Noto Serif KR ExtraLight Regular"/>
          <w:sz w:val="20"/>
          <w:szCs w:val="20"/>
          <w:rtl w:val="0"/>
          <w:lang w:val="en-US"/>
        </w:rPr>
        <w:t xml:space="preserve">Professor Minjae Lee said, </w:t>
      </w:r>
      <w:r>
        <w:rPr>
          <w:rFonts w:ascii="Noto Serif KR ExtraLight Regular" w:hAnsi="Noto Serif KR ExtraLight Regular" w:hint="default"/>
          <w:sz w:val="20"/>
          <w:szCs w:val="20"/>
          <w:rtl w:val="1"/>
          <w:lang w:val="ar-SA" w:bidi="ar-SA"/>
        </w:rPr>
        <w:t>“</w:t>
      </w:r>
      <w:r>
        <w:rPr>
          <w:rFonts w:ascii="Noto Serif KR ExtraLight Regular" w:hAnsi="Noto Serif KR ExtraLight Regular"/>
          <w:sz w:val="20"/>
          <w:szCs w:val="20"/>
          <w:rtl w:val="0"/>
          <w:lang w:val="en-US"/>
        </w:rPr>
        <w:t>Winning the Haedong Semiconductor Engineering Award is a great honor for me as a semiconductor researcher, and it is a meaningful recognition of my efforts,</w:t>
      </w:r>
      <w:r>
        <w:rPr>
          <w:rFonts w:ascii="Noto Serif KR ExtraLight Regular" w:hAnsi="Noto Serif KR ExtraLight Regular" w:hint="default"/>
          <w:sz w:val="20"/>
          <w:szCs w:val="20"/>
          <w:rtl w:val="0"/>
        </w:rPr>
        <w:t xml:space="preserve">” </w:t>
      </w:r>
      <w:r>
        <w:rPr>
          <w:rFonts w:ascii="Noto Serif KR ExtraLight Regular" w:hAnsi="Noto Serif KR ExtraLight Regular"/>
          <w:sz w:val="20"/>
          <w:szCs w:val="20"/>
          <w:rtl w:val="0"/>
          <w:lang w:val="en-US"/>
        </w:rPr>
        <w:t xml:space="preserve">and added, </w:t>
      </w:r>
      <w:r>
        <w:rPr>
          <w:rFonts w:ascii="Noto Serif KR ExtraLight Regular" w:hAnsi="Noto Serif KR ExtraLight Regular" w:hint="default"/>
          <w:sz w:val="20"/>
          <w:szCs w:val="20"/>
          <w:rtl w:val="1"/>
          <w:lang w:val="ar-SA" w:bidi="ar-SA"/>
        </w:rPr>
        <w:t>“</w:t>
      </w:r>
      <w:r>
        <w:rPr>
          <w:rFonts w:ascii="Noto Serif KR ExtraLight Regular" w:hAnsi="Noto Serif KR ExtraLight Regular"/>
          <w:sz w:val="20"/>
          <w:szCs w:val="20"/>
          <w:rtl w:val="0"/>
          <w:lang w:val="en-US"/>
        </w:rPr>
        <w:t>I will continue to contribute to strengthening the nation</w:t>
      </w:r>
      <w:r>
        <w:rPr>
          <w:rFonts w:ascii="Noto Serif KR ExtraLight Regular" w:hAnsi="Noto Serif KR ExtraLight Regular" w:hint="default"/>
          <w:sz w:val="20"/>
          <w:szCs w:val="20"/>
          <w:rtl w:val="1"/>
        </w:rPr>
        <w:t>’</w:t>
      </w:r>
      <w:r>
        <w:rPr>
          <w:rFonts w:ascii="Noto Serif KR ExtraLight Regular" w:hAnsi="Noto Serif KR ExtraLight Regular"/>
          <w:sz w:val="20"/>
          <w:szCs w:val="20"/>
          <w:rtl w:val="0"/>
          <w:lang w:val="en-US"/>
        </w:rPr>
        <w:t>s semiconductor competitiveness through creative research and expansion of industry-academia cooperation.</w:t>
      </w:r>
      <w:r>
        <w:rPr>
          <w:rFonts w:ascii="Noto Serif KR ExtraLight Regular" w:hAnsi="Noto Serif KR ExtraLight Regular" w:hint="default"/>
          <w:sz w:val="20"/>
          <w:szCs w:val="20"/>
          <w:rtl w:val="0"/>
        </w:rPr>
        <w:t>”</w:t>
      </w:r>
    </w:p>
    <w:p>
      <w:pPr>
        <w:pStyle w:val="Body"/>
        <w:jc w:val="both"/>
        <w:rPr>
          <w:rFonts w:ascii="Noto Serif KR ExtraLight Regular" w:cs="Noto Serif KR ExtraLight Regular" w:hAnsi="Noto Serif KR ExtraLight Regular" w:eastAsia="Noto Serif KR ExtraLight Regular"/>
          <w:sz w:val="20"/>
          <w:szCs w:val="20"/>
        </w:rPr>
      </w:pPr>
    </w:p>
    <w:p>
      <w:pPr>
        <w:pStyle w:val="Body"/>
        <w:jc w:val="both"/>
      </w:pPr>
      <w:r>
        <w:rPr>
          <w:rFonts w:ascii="Noto Serif KR ExtraLight Regular" w:cs="Noto Serif KR ExtraLight Regular" w:hAnsi="Noto Serif KR ExtraLight Regular" w:eastAsia="Noto Serif KR ExtraLight Regular"/>
          <w:sz w:val="20"/>
          <w:szCs w:val="20"/>
        </w:rPr>
        <w:drawing xmlns:a="http://schemas.openxmlformats.org/drawingml/2006/main">
          <wp:inline distT="0" distB="0" distL="0" distR="0">
            <wp:extent cx="681672" cy="297187"/>
            <wp:effectExtent l="0" t="0" r="0" b="0"/>
            <wp:docPr id="1073741826" name="officeArt object" descr="GIST 1993.png"/>
            <wp:cNvGraphicFramePr/>
            <a:graphic xmlns:a="http://schemas.openxmlformats.org/drawingml/2006/main">
              <a:graphicData uri="http://schemas.openxmlformats.org/drawingml/2006/picture">
                <pic:pic xmlns:pic="http://schemas.openxmlformats.org/drawingml/2006/picture">
                  <pic:nvPicPr>
                    <pic:cNvPr id="1073741826" name="GIST 1993.png" descr="GIST 1993.png"/>
                    <pic:cNvPicPr>
                      <a:picLocks noChangeAspect="1"/>
                    </pic:cNvPicPr>
                  </pic:nvPicPr>
                  <pic:blipFill>
                    <a:blip r:embed="rId5">
                      <a:extLst/>
                    </a:blip>
                    <a:stretch>
                      <a:fillRect/>
                    </a:stretch>
                  </pic:blipFill>
                  <pic:spPr>
                    <a:xfrm>
                      <a:off x="0" y="0"/>
                      <a:ext cx="681672" cy="297187"/>
                    </a:xfrm>
                    <a:prstGeom prst="rect">
                      <a:avLst/>
                    </a:prstGeom>
                    <a:ln w="12700" cap="flat">
                      <a:noFill/>
                      <a:miter lim="400000"/>
                    </a:ln>
                    <a:effectLst/>
                  </pic:spPr>
                </pic:pic>
              </a:graphicData>
            </a:graphic>
          </wp:inline>
        </w:drawing>
      </w:r>
    </w:p>
    <w:sectPr>
      <w:headerReference w:type="default" r:id="rId6"/>
      <w:footerReference w:type="default" r:id="rId7"/>
      <w:pgSz w:w="11906" w:h="16838" w:orient="portrait"/>
      <w:pgMar w:top="720" w:right="720" w:bottom="720" w:left="720" w:header="720" w:footer="720"/>
      <w:bidi w:val="0"/>
    </w:sectPr>
  </w:body>
</w:document>
</file>

<file path=word/fontTable.xml><?xml version="1.0" encoding="utf-8"?>
<w:fonts xmlns:w="http://schemas.openxmlformats.org/wordprocessingml/2006/main">
  <w:font w:name="Times New Roman">
    <w:charset w:val="00"/>
    <w:family w:val="roman"/>
    <w:pitch w:val="variable"/>
  </w:font>
  <w:font w:name="Symbol">
    <w:charset w:val="02"/>
    <w:family w:val="roman"/>
    <w:pitch w:val="variable"/>
  </w:font>
  <w:font w:name="Arial">
    <w:charset w:val="00"/>
    <w:family w:val="swiss"/>
    <w:pitch w:val="variable"/>
  </w:font>
  <w:font w:name="Arial Unicode MS">
    <w:charset w:val="00"/>
    <w:family w:val="roman"/>
    <w:pitch w:val="default"/>
  </w:font>
  <w:font w:name="Helvetica Neue">
    <w:charset w:val="00"/>
    <w:family w:val="roman"/>
    <w:pitch w:val="default"/>
  </w:font>
  <w:font w:name="Noto Serif KR ExtraLight Medium">
    <w:charset w:val="00"/>
    <w:family w:val="roman"/>
    <w:pitch w:val="default"/>
  </w:font>
  <w:font w:name="Noto Serif KR ExtraLight Regular">
    <w:charset w:val="00"/>
    <w:family w:val="roman"/>
    <w:pitch w:val="default"/>
  </w:font>
</w:fonts>
</file>

<file path=word/footer1.xml><?xml version="1.0" encoding="utf-8"?>
<w:ftr xmlns:r="http://schemas.openxmlformats.org/officeDocument/2006/relationships" xmlns:wp="http://schemas.openxmlformats.org/drawingml/2006/wordprocessingDrawing" xmlns:w="http://schemas.openxmlformats.org/wordprocessingml/2006/main" xmlns:w10="urn:schemas-microsoft-com:office:word" xmlns:w14="http://schemas.microsoft.com/office/word/2010/wordml" xmlns:wps="http://schemas.microsoft.com/office/word/2010/wordprocessingShape" xmlns:wpg="http://schemas.microsoft.com/office/word/2010/wordprocessingGroup" xmlns:mc="http://schemas.openxmlformats.org/markup-compatibility/2006" xmlns:v="urn:schemas-microsoft-com:vml" xmlns:o="urn:schemas-microsoft-com:office:office" xmlns:m="http://schemas.openxmlformats.org/officeDocument/2006/math" mc:Ignorable="w14">
  <w:p>
    <w:r/>
  </w:p>
</w:ftr>
</file>

<file path=word/header1.xml><?xml version="1.0" encoding="utf-8"?>
<w:hdr xmlns:r="http://schemas.openxmlformats.org/officeDocument/2006/relationships" xmlns:wp="http://schemas.openxmlformats.org/drawingml/2006/wordprocessingDrawing" xmlns:w="http://schemas.openxmlformats.org/wordprocessingml/2006/main" xmlns:w10="urn:schemas-microsoft-com:office:word" xmlns:w14="http://schemas.microsoft.com/office/word/2010/wordml" xmlns:wps="http://schemas.microsoft.com/office/word/2010/wordprocessingShape" xmlns:wpg="http://schemas.microsoft.com/office/word/2010/wordprocessingGroup" xmlns:mc="http://schemas.openxmlformats.org/markup-compatibility/2006" xmlns:v="urn:schemas-microsoft-com:vml" xmlns:o="urn:schemas-microsoft-com:office:office" xmlns:m="http://schemas.openxmlformats.org/officeDocument/2006/math" mc:Ignorable="w14">
  <w:p>
    <w:r/>
  </w:p>
</w:hdr>
</file>

<file path=word/settings.xml><?xml version="1.0" encoding="utf-8"?>
<w:settings xmlns:mc="http://schemas.openxmlformats.org/markup-compatibility/2006" xmlns:o="urn:schemas-microsoft-com:office:office" xmlns:v="urn:schemas-microsoft-com:vml" xmlns:w="http://schemas.openxmlformats.org/wordprocessingml/2006/main">
  <w:view w:val="print"/>
  <w:mirrorMargins w:val="0"/>
  <w:bordersDoNotSurroundHeader w:val="0"/>
  <w:bordersDoNotSurroundFooter w:val="0"/>
  <w:displayBackgroundShape/>
  <w:revisionView w:markup="1" w:comments="1" w:insDel="1" w:formatting="0"/>
  <w:defaultTabStop w:val="720"/>
  <w:autoHyphenation w:val="0"/>
  <w:evenAndOddHeaders w:val="0"/>
  <w:bookFoldPrinting w:val="0"/>
  <w:noLineBreaksAfter w:lang="English" w:val="‘“(〔[{〈《「『【⦅〘〖«〝︵︷︹︻︽︿﹁﹃﹇﹙﹛﹝｢"/>
  <w:noLineBreaksBefore w:lang="English" w:val="’”)〕]}〉"/>
  <w:compat>
    <w:compatSetting w:name="compatibilityMode" w:uri="http://schemas.microsoft.com/office/word" w:val="15"/>
  </w:compat>
  <w:clrSchemeMapping w:bg1="light1" w:t1="dark1" w:bg2="light2" w:t2="dark2" w:accent1="accent1" w:accent2="accent2" w:accent3="accent3" w:accent4="accent4" w:accent5="accent5" w:accent6="accent6" w:hyperlink="hyperlink" w:followedHyperlink="followedHyperlink"/>
</w:settings>
</file>

<file path=word/styles.xml><?xml version="1.0" encoding="utf-8"?>
<w:styles xmlns:w="http://schemas.openxmlformats.org/wordprocessingml/2006/main" xmlns:mc="http://schemas.openxmlformats.org/markup-compatibility/2006" xmlns:w14="http://schemas.microsoft.com/office/word/2010/wordml" mc:Ignorable="w14">
  <w:docDefaults>
    <w:rPrDefault>
      <w:rPr>
        <w:rFonts w:ascii="Times New Roman" w:cs="Times New Roman" w:hAnsi="Times New Roman" w:eastAsia="Arial Unicode MS"/>
        <w:b w:val="0"/>
        <w:bCs w:val="0"/>
        <w:i w:val="0"/>
        <w:iCs w:val="0"/>
        <w:caps w:val="0"/>
        <w:smallCaps w:val="0"/>
        <w:strike w:val="0"/>
        <w:dstrike w:val="0"/>
        <w:outline w:val="0"/>
        <w:emboss w:val="0"/>
        <w:imprint w:val="0"/>
        <w:vanish w:val="0"/>
        <w:color w:val="auto"/>
        <w:spacing w:val="0"/>
        <w:w w:val="100"/>
        <w:kern w:val="0"/>
        <w:position w:val="0"/>
        <w:sz w:val="20"/>
        <w:szCs w:val="20"/>
        <w:u w:val="none" w:color="auto"/>
        <w:bdr w:val="nil"/>
        <w:vertAlign w:val="baseline"/>
        <w:lang/>
      </w:rPr>
    </w:rPrDefault>
    <w:pPrDefault>
      <w:pPr>
        <w:keepNext w:val="0"/>
        <w:keepLines w:val="0"/>
        <w:pageBreakBefore w:val="0"/>
        <w:framePr w:anchorLock="0" w:w="0" w:h="0" w:vSpace="0" w:hSpace="0" w:xAlign="left" w:y="0" w:hRule="exact" w:vAnchor="margin"/>
        <w:widowControl w:val="1"/>
        <w:numPr>
          <w:ilvl w:val="0"/>
          <w:numId w:val="0"/>
        </w:numPr>
        <w:suppressLineNumbers w:val="0"/>
        <w:pBdr>
          <w:top w:val="nil"/>
          <w:left w:val="nil"/>
          <w:bottom w:val="nil"/>
          <w:right w:val="nil"/>
          <w:between w:val="nil"/>
          <w:bar w:val="nil"/>
        </w:pBdr>
        <w:shd w:val="clear" w:color="auto" w:fill="auto"/>
        <w:suppressAutoHyphens w:val="0"/>
        <w:spacing w:before="0" w:beforeAutospacing="0" w:after="0" w:afterAutospacing="0" w:line="240" w:lineRule="auto"/>
        <w:ind w:left="0" w:right="0" w:firstLine="0"/>
        <w:jc w:val="left"/>
        <w:outlineLvl w:val="9"/>
      </w:pPr>
    </w:pPrDefault>
  </w:docDefaults>
  <w:style w:type="paragraph" w:default="1" w:styleId="Normal">
    <w:name w:val="Normal"/>
    <w:next w:val="Normal"/>
    <w:pPr/>
    <w:rPr>
      <w:sz w:val="24"/>
      <w:szCs w:val="24"/>
      <w:lang w:val="en-US" w:eastAsia="en-US" w:bidi="ar-SA"/>
    </w:rPr>
  </w:style>
  <w:style w:type="character" w:default="1" w:styleId="Default Paragraph Font">
    <w:name w:val="Default Paragraph Font"/>
    <w:next w:val="Default Paragraph Font"/>
  </w:style>
  <w:style w:type="character" w:styleId="Hyperlink">
    <w:name w:val="Hyperlink"/>
    <w:rPr>
      <w:u w:val="single"/>
    </w:rPr>
  </w:style>
  <w:style w:type="table" w:default="1" w:styleId="Table Normal">
    <w:name w:val="Table Normal"/>
    <w:next w:val="Table Normal"/>
    <w:pPr/>
    <w:tblPr>
      <w:tblInd w:w="0" w:type="dxa"/>
    </w:tblPr>
    <w:trPr/>
    <w:tcPr/>
    <w:tblStylePr w:type="firstRow"/>
    <w:tblStylePr w:type="lastRow"/>
    <w:tblStylePr w:type="firstCol"/>
    <w:tblStylePr w:type="lastCol"/>
    <w:tblStylePr w:type="band1Vert"/>
    <w:tblStylePr w:type="band2Vert"/>
    <w:tblStylePr w:type="band1Horz"/>
    <w:tblStylePr w:type="band2Horz"/>
    <w:tblStylePr w:type="neCell"/>
    <w:tblStylePr w:type="nwCell"/>
    <w:tblStylePr w:type="seCell"/>
    <w:tblStylePr w:type="swCell"/>
  </w:style>
  <w:style w:type="numbering" w:default="1" w:styleId="No List">
    <w:name w:val="No List"/>
    <w:next w:val="No List"/>
    <w:pPr/>
  </w:style>
  <w:style w:type="paragraph" w:styleId="Body">
    <w:name w:val="Body"/>
    <w:next w:val="Body"/>
    <w:pPr>
      <w:keepNext w:val="0"/>
      <w:keepLines w:val="0"/>
      <w:pageBreakBefore w:val="0"/>
      <w:widowControl w:val="1"/>
      <w:shd w:val="clear" w:color="auto" w:fill="auto"/>
      <w:suppressAutoHyphens w:val="0"/>
      <w:bidi w:val="0"/>
      <w:spacing w:before="0" w:after="0" w:line="240" w:lineRule="auto"/>
      <w:ind w:left="0" w:right="0" w:firstLine="0"/>
      <w:jc w:val="left"/>
      <w:outlineLvl w:val="9"/>
    </w:pPr>
    <w:rPr>
      <w:rFonts w:ascii="Helvetica Neue" w:cs="Arial Unicode MS" w:hAnsi="Helvetica Neue" w:eastAsia="Arial Unicode MS"/>
      <w:b w:val="0"/>
      <w:bCs w:val="0"/>
      <w:i w:val="0"/>
      <w:iCs w:val="0"/>
      <w:caps w:val="0"/>
      <w:smallCaps w:val="0"/>
      <w:strike w:val="0"/>
      <w:dstrike w:val="0"/>
      <w:outline w:val="0"/>
      <w:color w:val="000000"/>
      <w:spacing w:val="0"/>
      <w:kern w:val="0"/>
      <w:position w:val="0"/>
      <w:sz w:val="22"/>
      <w:szCs w:val="22"/>
      <w:u w:val="none"/>
      <w:shd w:val="nil" w:color="auto" w:fill="auto"/>
      <w:vertAlign w:val="baseline"/>
      <w:lang w:val="en-US"/>
      <w14:textOutline>
        <w14:noFill/>
      </w14:textOutline>
      <w14:textFill>
        <w14:solidFill>
          <w14:srgbClr w14:val="000000"/>
        </w14:solidFill>
      </w14:textFill>
    </w:rPr>
  </w:style>
</w:styles>
</file>

<file path=word/_rels/document.xml.rels><?xml version="1.0" encoding="UTF-8"?>
<Relationships xmlns="http://schemas.openxmlformats.org/package/2006/relationships"><Relationship Id="rId1" Type="http://schemas.openxmlformats.org/officeDocument/2006/relationships/settings" Target="settings.xml"/><Relationship Id="rId2" Type="http://schemas.openxmlformats.org/officeDocument/2006/relationships/fontTable" Target="fontTable.xml"/><Relationship Id="rId3" Type="http://schemas.openxmlformats.org/officeDocument/2006/relationships/styles" Target="styles.xml"/><Relationship Id="rId4" Type="http://schemas.openxmlformats.org/officeDocument/2006/relationships/image" Target="media/image1.jpeg"/><Relationship Id="rId5" Type="http://schemas.openxmlformats.org/officeDocument/2006/relationships/image" Target="media/image1.png"/><Relationship Id="rId6" Type="http://schemas.openxmlformats.org/officeDocument/2006/relationships/header" Target="header1.xml"/><Relationship Id="rId7" Type="http://schemas.openxmlformats.org/officeDocument/2006/relationships/footer" Target="footer1.xml"/><Relationship Id="rId8" Type="http://schemas.openxmlformats.org/officeDocument/2006/relationships/theme" Target="theme/theme1.xml"/></Relationships>

</file>

<file path=word/theme/theme1.xml><?xml version="1.0" encoding="utf-8"?>
<a:theme xmlns:a="http://schemas.openxmlformats.org/drawingml/2006/main" xmlns:r="http://schemas.openxmlformats.org/officeDocument/2006/relationships" name="Blank">
  <a:themeElements>
    <a:clrScheme name="Blank">
      <a:dk1>
        <a:srgbClr val="000000"/>
      </a:dk1>
      <a:lt1>
        <a:srgbClr val="FFFFFF"/>
      </a:lt1>
      <a:dk2>
        <a:srgbClr val="5E5E5E"/>
      </a:dk2>
      <a:lt2>
        <a:srgbClr val="D5D5D5"/>
      </a:lt2>
      <a:accent1>
        <a:srgbClr val="00A2FF"/>
      </a:accent1>
      <a:accent2>
        <a:srgbClr val="16E7CF"/>
      </a:accent2>
      <a:accent3>
        <a:srgbClr val="61D836"/>
      </a:accent3>
      <a:accent4>
        <a:srgbClr val="FFD932"/>
      </a:accent4>
      <a:accent5>
        <a:srgbClr val="FF644E"/>
      </a:accent5>
      <a:accent6>
        <a:srgbClr val="FF42A1"/>
      </a:accent6>
      <a:hlink>
        <a:srgbClr val="0000FF"/>
      </a:hlink>
      <a:folHlink>
        <a:srgbClr val="FF00FF"/>
      </a:folHlink>
    </a:clrScheme>
    <a:fontScheme name="Blank">
      <a:majorFont>
        <a:latin typeface="Helvetica Neue"/>
        <a:ea typeface="Helvetica Neue"/>
        <a:cs typeface="Helvetica Neue"/>
      </a:majorFont>
      <a:minorFont>
        <a:latin typeface="Helvetica Neue"/>
        <a:ea typeface="Helvetica Neue"/>
        <a:cs typeface="Helvetica Neue"/>
      </a:minorFont>
    </a:fontScheme>
    <a:fmtScheme name="Blank">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29999"/>
              </a:schemeClr>
            </a:gs>
            <a:gs pos="100000">
              <a:schemeClr val="phClr">
                <a:tint val="50000"/>
                <a:shade val="100000"/>
                <a:satMod val="350000"/>
              </a:schemeClr>
            </a:gs>
          </a:gsLst>
          <a:lin ang="16200000" scaled="0"/>
        </a:gradFill>
      </a:fillStyleLst>
      <a:lnStyleLst>
        <a:ln w="9525" cap="flat" cmpd="sng" algn="ctr">
          <a:solidFill>
            <a:schemeClr val="phClr">
              <a:shade val="95000"/>
              <a:satMod val="104999"/>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effectStyle>
        <a:effectStyle>
          <a:effectLst/>
        </a:effectStyle>
        <a:effectStyle>
          <a:effectLst/>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solidFill>
          <a:srgbClr val="000000"/>
        </a:solidFill>
        <a:ln w="12700" cap="flat">
          <a:noFill/>
          <a:miter lim="400000"/>
        </a:ln>
        <a:effectLst/>
        <a:sp3d/>
      </a:spPr>
      <a:bodyPr rot="0" spcFirstLastPara="1" vertOverflow="overflow" horzOverflow="overflow" vert="horz" wrap="square" lIns="50800" tIns="50800" rIns="50800" bIns="50800" numCol="1" spcCol="38100" rtlCol="0" anchor="ctr" upright="0">
        <a:spAutoFit/>
      </a:bodyPr>
      <a:lstStyle>
        <a:defPPr marL="0" marR="0" indent="0" algn="ctr" defTabSz="584200" rtl="0" fontAlgn="auto" latinLnBrk="0" hangingPunct="0">
          <a:lnSpc>
            <a:spcPct val="100000"/>
          </a:lnSpc>
          <a:spcBef>
            <a:spcPts val="0"/>
          </a:spcBef>
          <a:spcAft>
            <a:spcPts val="0"/>
          </a:spcAft>
          <a:buClrTx/>
          <a:buSzTx/>
          <a:buFontTx/>
          <a:buNone/>
          <a:tabLst/>
          <a:defRPr b="0" baseline="0" cap="none" i="0" spc="0" strike="noStrike" sz="1200" u="none" kumimoji="0" normalizeH="0">
            <a:ln>
              <a:noFill/>
            </a:ln>
            <a:solidFill>
              <a:srgbClr val="FFFFFF"/>
            </a:solidFill>
            <a:effectLst/>
            <a:uFillTx/>
            <a:latin typeface="Helvetica Neue Medium"/>
            <a:ea typeface="Helvetica Neue Medium"/>
            <a:cs typeface="Helvetica Neue Medium"/>
            <a:sym typeface="Helvetica Neue Medium"/>
          </a:defRPr>
        </a:defPPr>
        <a:lvl1pPr marL="0" marR="0" indent="0" algn="l" defTabSz="914400" rtl="0" fontAlgn="auto" latinLnBrk="1" hangingPunct="0">
          <a:lnSpc>
            <a:spcPct val="100000"/>
          </a:lnSpc>
          <a:spcBef>
            <a:spcPts val="0"/>
          </a:spcBef>
          <a:spcAft>
            <a:spcPts val="0"/>
          </a:spcAft>
          <a:buClrTx/>
          <a:buSzTx/>
          <a:buFontTx/>
          <a:buNone/>
          <a:tabLst/>
          <a:defRPr b="0" baseline="0" cap="none" i="0" spc="0" strike="noStrike" sz="1800" u="none" kumimoji="0" normalizeH="0">
            <a:ln>
              <a:noFill/>
            </a:ln>
            <a:solidFill>
              <a:srgbClr val="000000"/>
            </a:solidFill>
            <a:effectLst/>
            <a:uFillTx/>
          </a:defRPr>
        </a:lvl1pPr>
        <a:lvl2pPr marL="0" marR="0" indent="0" algn="l" defTabSz="914400" rtl="0" fontAlgn="auto" latinLnBrk="1" hangingPunct="0">
          <a:lnSpc>
            <a:spcPct val="100000"/>
          </a:lnSpc>
          <a:spcBef>
            <a:spcPts val="0"/>
          </a:spcBef>
          <a:spcAft>
            <a:spcPts val="0"/>
          </a:spcAft>
          <a:buClrTx/>
          <a:buSzTx/>
          <a:buFontTx/>
          <a:buNone/>
          <a:tabLst/>
          <a:defRPr b="0" baseline="0" cap="none" i="0" spc="0" strike="noStrike" sz="1800" u="none" kumimoji="0" normalizeH="0">
            <a:ln>
              <a:noFill/>
            </a:ln>
            <a:solidFill>
              <a:srgbClr val="000000"/>
            </a:solidFill>
            <a:effectLst/>
            <a:uFillTx/>
          </a:defRPr>
        </a:lvl2pPr>
        <a:lvl3pPr marL="0" marR="0" indent="0" algn="l" defTabSz="914400" rtl="0" fontAlgn="auto" latinLnBrk="1" hangingPunct="0">
          <a:lnSpc>
            <a:spcPct val="100000"/>
          </a:lnSpc>
          <a:spcBef>
            <a:spcPts val="0"/>
          </a:spcBef>
          <a:spcAft>
            <a:spcPts val="0"/>
          </a:spcAft>
          <a:buClrTx/>
          <a:buSzTx/>
          <a:buFontTx/>
          <a:buNone/>
          <a:tabLst/>
          <a:defRPr b="0" baseline="0" cap="none" i="0" spc="0" strike="noStrike" sz="1800" u="none" kumimoji="0" normalizeH="0">
            <a:ln>
              <a:noFill/>
            </a:ln>
            <a:solidFill>
              <a:srgbClr val="000000"/>
            </a:solidFill>
            <a:effectLst/>
            <a:uFillTx/>
          </a:defRPr>
        </a:lvl3pPr>
        <a:lvl4pPr marL="0" marR="0" indent="0" algn="l" defTabSz="914400" rtl="0" fontAlgn="auto" latinLnBrk="1" hangingPunct="0">
          <a:lnSpc>
            <a:spcPct val="100000"/>
          </a:lnSpc>
          <a:spcBef>
            <a:spcPts val="0"/>
          </a:spcBef>
          <a:spcAft>
            <a:spcPts val="0"/>
          </a:spcAft>
          <a:buClrTx/>
          <a:buSzTx/>
          <a:buFontTx/>
          <a:buNone/>
          <a:tabLst/>
          <a:defRPr b="0" baseline="0" cap="none" i="0" spc="0" strike="noStrike" sz="1800" u="none" kumimoji="0" normalizeH="0">
            <a:ln>
              <a:noFill/>
            </a:ln>
            <a:solidFill>
              <a:srgbClr val="000000"/>
            </a:solidFill>
            <a:effectLst/>
            <a:uFillTx/>
          </a:defRPr>
        </a:lvl4pPr>
        <a:lvl5pPr marL="0" marR="0" indent="0" algn="l" defTabSz="914400" rtl="0" fontAlgn="auto" latinLnBrk="1" hangingPunct="0">
          <a:lnSpc>
            <a:spcPct val="100000"/>
          </a:lnSpc>
          <a:spcBef>
            <a:spcPts val="0"/>
          </a:spcBef>
          <a:spcAft>
            <a:spcPts val="0"/>
          </a:spcAft>
          <a:buClrTx/>
          <a:buSzTx/>
          <a:buFontTx/>
          <a:buNone/>
          <a:tabLst/>
          <a:defRPr b="0" baseline="0" cap="none" i="0" spc="0" strike="noStrike" sz="1800" u="none" kumimoji="0" normalizeH="0">
            <a:ln>
              <a:noFill/>
            </a:ln>
            <a:solidFill>
              <a:srgbClr val="000000"/>
            </a:solidFill>
            <a:effectLst/>
            <a:uFillTx/>
          </a:defRPr>
        </a:lvl5pPr>
        <a:lvl6pPr marL="0" marR="0" indent="0" algn="l" defTabSz="914400" rtl="0" fontAlgn="auto" latinLnBrk="1" hangingPunct="0">
          <a:lnSpc>
            <a:spcPct val="100000"/>
          </a:lnSpc>
          <a:spcBef>
            <a:spcPts val="0"/>
          </a:spcBef>
          <a:spcAft>
            <a:spcPts val="0"/>
          </a:spcAft>
          <a:buClrTx/>
          <a:buSzTx/>
          <a:buFontTx/>
          <a:buNone/>
          <a:tabLst/>
          <a:defRPr b="0" baseline="0" cap="none" i="0" spc="0" strike="noStrike" sz="1800" u="none" kumimoji="0" normalizeH="0">
            <a:ln>
              <a:noFill/>
            </a:ln>
            <a:solidFill>
              <a:srgbClr val="000000"/>
            </a:solidFill>
            <a:effectLst/>
            <a:uFillTx/>
          </a:defRPr>
        </a:lvl6pPr>
        <a:lvl7pPr marL="0" marR="0" indent="0" algn="l" defTabSz="914400" rtl="0" fontAlgn="auto" latinLnBrk="1" hangingPunct="0">
          <a:lnSpc>
            <a:spcPct val="100000"/>
          </a:lnSpc>
          <a:spcBef>
            <a:spcPts val="0"/>
          </a:spcBef>
          <a:spcAft>
            <a:spcPts val="0"/>
          </a:spcAft>
          <a:buClrTx/>
          <a:buSzTx/>
          <a:buFontTx/>
          <a:buNone/>
          <a:tabLst/>
          <a:defRPr b="0" baseline="0" cap="none" i="0" spc="0" strike="noStrike" sz="1800" u="none" kumimoji="0" normalizeH="0">
            <a:ln>
              <a:noFill/>
            </a:ln>
            <a:solidFill>
              <a:srgbClr val="000000"/>
            </a:solidFill>
            <a:effectLst/>
            <a:uFillTx/>
          </a:defRPr>
        </a:lvl7pPr>
        <a:lvl8pPr marL="0" marR="0" indent="0" algn="l" defTabSz="914400" rtl="0" fontAlgn="auto" latinLnBrk="1" hangingPunct="0">
          <a:lnSpc>
            <a:spcPct val="100000"/>
          </a:lnSpc>
          <a:spcBef>
            <a:spcPts val="0"/>
          </a:spcBef>
          <a:spcAft>
            <a:spcPts val="0"/>
          </a:spcAft>
          <a:buClrTx/>
          <a:buSzTx/>
          <a:buFontTx/>
          <a:buNone/>
          <a:tabLst/>
          <a:defRPr b="0" baseline="0" cap="none" i="0" spc="0" strike="noStrike" sz="1800" u="none" kumimoji="0" normalizeH="0">
            <a:ln>
              <a:noFill/>
            </a:ln>
            <a:solidFill>
              <a:srgbClr val="000000"/>
            </a:solidFill>
            <a:effectLst/>
            <a:uFillTx/>
          </a:defRPr>
        </a:lvl8pPr>
        <a:lvl9pPr marL="0" marR="0" indent="0" algn="l" defTabSz="914400" rtl="0" fontAlgn="auto" latinLnBrk="1" hangingPunct="0">
          <a:lnSpc>
            <a:spcPct val="100000"/>
          </a:lnSpc>
          <a:spcBef>
            <a:spcPts val="0"/>
          </a:spcBef>
          <a:spcAft>
            <a:spcPts val="0"/>
          </a:spcAft>
          <a:buClrTx/>
          <a:buSzTx/>
          <a:buFontTx/>
          <a:buNone/>
          <a:tabLst/>
          <a:defRPr b="0" baseline="0" cap="none" i="0" spc="0" strike="noStrike" sz="1800" u="none" kumimoji="0" normalizeH="0">
            <a:ln>
              <a:noFill/>
            </a:ln>
            <a:solidFill>
              <a:srgbClr val="000000"/>
            </a:solidFill>
            <a:effectLst/>
            <a:uFillTx/>
          </a:defRPr>
        </a:lvl9pPr>
      </a:lstStyle>
      <a:style>
        <a:lnRef idx="0"/>
        <a:fillRef idx="0"/>
        <a:effectRef idx="0"/>
        <a:fontRef idx="none"/>
      </a:style>
    </a:spDef>
    <a:lnDef>
      <a:spPr>
        <a:noFill/>
        <a:ln w="25400" cap="flat">
          <a:solidFill>
            <a:srgbClr val="000000"/>
          </a:solidFill>
          <a:prstDash val="solid"/>
          <a:miter lim="400000"/>
        </a:ln>
        <a:effectLst/>
        <a:sp3d/>
      </a:spPr>
      <a:bodyPr rot="0" spcFirstLastPara="1" vertOverflow="overflow" horzOverflow="overflow" vert="horz" wrap="square" lIns="91439" tIns="45719" rIns="91439" bIns="45719" numCol="1" spcCol="38100" rtlCol="0" anchor="t" upright="0">
        <a:noAutofit/>
      </a:bodyPr>
      <a:lstStyle>
        <a:defPPr marL="0" marR="0" indent="0" algn="l" defTabSz="914400" rtl="0" fontAlgn="auto" latinLnBrk="1" hangingPunct="0">
          <a:lnSpc>
            <a:spcPct val="100000"/>
          </a:lnSpc>
          <a:spcBef>
            <a:spcPts val="0"/>
          </a:spcBef>
          <a:spcAft>
            <a:spcPts val="0"/>
          </a:spcAft>
          <a:buClrTx/>
          <a:buSzTx/>
          <a:buFontTx/>
          <a:buNone/>
          <a:tabLst/>
          <a:defRPr b="0" baseline="0" cap="none" i="0" spc="0" strike="noStrike" sz="1800" u="none" kumimoji="0" normalizeH="0">
            <a:ln>
              <a:noFill/>
            </a:ln>
            <a:solidFill>
              <a:srgbClr val="000000"/>
            </a:solidFill>
            <a:effectLst/>
            <a:uFillTx/>
          </a:defRPr>
        </a:defPPr>
        <a:lvl1pPr marL="0" marR="0" indent="0" algn="l" defTabSz="914400" rtl="0" fontAlgn="auto" latinLnBrk="1" hangingPunct="0">
          <a:lnSpc>
            <a:spcPct val="100000"/>
          </a:lnSpc>
          <a:spcBef>
            <a:spcPts val="0"/>
          </a:spcBef>
          <a:spcAft>
            <a:spcPts val="0"/>
          </a:spcAft>
          <a:buClrTx/>
          <a:buSzTx/>
          <a:buFontTx/>
          <a:buNone/>
          <a:tabLst/>
          <a:defRPr b="0" baseline="0" cap="none" i="0" spc="0" strike="noStrike" sz="1800" u="none" kumimoji="0" normalizeH="0">
            <a:ln>
              <a:noFill/>
            </a:ln>
            <a:solidFill>
              <a:srgbClr val="000000"/>
            </a:solidFill>
            <a:effectLst/>
            <a:uFillTx/>
          </a:defRPr>
        </a:lvl1pPr>
        <a:lvl2pPr marL="0" marR="0" indent="0" algn="l" defTabSz="914400" rtl="0" fontAlgn="auto" latinLnBrk="1" hangingPunct="0">
          <a:lnSpc>
            <a:spcPct val="100000"/>
          </a:lnSpc>
          <a:spcBef>
            <a:spcPts val="0"/>
          </a:spcBef>
          <a:spcAft>
            <a:spcPts val="0"/>
          </a:spcAft>
          <a:buClrTx/>
          <a:buSzTx/>
          <a:buFontTx/>
          <a:buNone/>
          <a:tabLst/>
          <a:defRPr b="0" baseline="0" cap="none" i="0" spc="0" strike="noStrike" sz="1800" u="none" kumimoji="0" normalizeH="0">
            <a:ln>
              <a:noFill/>
            </a:ln>
            <a:solidFill>
              <a:srgbClr val="000000"/>
            </a:solidFill>
            <a:effectLst/>
            <a:uFillTx/>
          </a:defRPr>
        </a:lvl2pPr>
        <a:lvl3pPr marL="0" marR="0" indent="0" algn="l" defTabSz="914400" rtl="0" fontAlgn="auto" latinLnBrk="1" hangingPunct="0">
          <a:lnSpc>
            <a:spcPct val="100000"/>
          </a:lnSpc>
          <a:spcBef>
            <a:spcPts val="0"/>
          </a:spcBef>
          <a:spcAft>
            <a:spcPts val="0"/>
          </a:spcAft>
          <a:buClrTx/>
          <a:buSzTx/>
          <a:buFontTx/>
          <a:buNone/>
          <a:tabLst/>
          <a:defRPr b="0" baseline="0" cap="none" i="0" spc="0" strike="noStrike" sz="1800" u="none" kumimoji="0" normalizeH="0">
            <a:ln>
              <a:noFill/>
            </a:ln>
            <a:solidFill>
              <a:srgbClr val="000000"/>
            </a:solidFill>
            <a:effectLst/>
            <a:uFillTx/>
          </a:defRPr>
        </a:lvl3pPr>
        <a:lvl4pPr marL="0" marR="0" indent="0" algn="l" defTabSz="914400" rtl="0" fontAlgn="auto" latinLnBrk="1" hangingPunct="0">
          <a:lnSpc>
            <a:spcPct val="100000"/>
          </a:lnSpc>
          <a:spcBef>
            <a:spcPts val="0"/>
          </a:spcBef>
          <a:spcAft>
            <a:spcPts val="0"/>
          </a:spcAft>
          <a:buClrTx/>
          <a:buSzTx/>
          <a:buFontTx/>
          <a:buNone/>
          <a:tabLst/>
          <a:defRPr b="0" baseline="0" cap="none" i="0" spc="0" strike="noStrike" sz="1800" u="none" kumimoji="0" normalizeH="0">
            <a:ln>
              <a:noFill/>
            </a:ln>
            <a:solidFill>
              <a:srgbClr val="000000"/>
            </a:solidFill>
            <a:effectLst/>
            <a:uFillTx/>
          </a:defRPr>
        </a:lvl4pPr>
        <a:lvl5pPr marL="0" marR="0" indent="0" algn="l" defTabSz="914400" rtl="0" fontAlgn="auto" latinLnBrk="1" hangingPunct="0">
          <a:lnSpc>
            <a:spcPct val="100000"/>
          </a:lnSpc>
          <a:spcBef>
            <a:spcPts val="0"/>
          </a:spcBef>
          <a:spcAft>
            <a:spcPts val="0"/>
          </a:spcAft>
          <a:buClrTx/>
          <a:buSzTx/>
          <a:buFontTx/>
          <a:buNone/>
          <a:tabLst/>
          <a:defRPr b="0" baseline="0" cap="none" i="0" spc="0" strike="noStrike" sz="1800" u="none" kumimoji="0" normalizeH="0">
            <a:ln>
              <a:noFill/>
            </a:ln>
            <a:solidFill>
              <a:srgbClr val="000000"/>
            </a:solidFill>
            <a:effectLst/>
            <a:uFillTx/>
          </a:defRPr>
        </a:lvl5pPr>
        <a:lvl6pPr marL="0" marR="0" indent="0" algn="l" defTabSz="914400" rtl="0" fontAlgn="auto" latinLnBrk="1" hangingPunct="0">
          <a:lnSpc>
            <a:spcPct val="100000"/>
          </a:lnSpc>
          <a:spcBef>
            <a:spcPts val="0"/>
          </a:spcBef>
          <a:spcAft>
            <a:spcPts val="0"/>
          </a:spcAft>
          <a:buClrTx/>
          <a:buSzTx/>
          <a:buFontTx/>
          <a:buNone/>
          <a:tabLst/>
          <a:defRPr b="0" baseline="0" cap="none" i="0" spc="0" strike="noStrike" sz="1800" u="none" kumimoji="0" normalizeH="0">
            <a:ln>
              <a:noFill/>
            </a:ln>
            <a:solidFill>
              <a:srgbClr val="000000"/>
            </a:solidFill>
            <a:effectLst/>
            <a:uFillTx/>
          </a:defRPr>
        </a:lvl6pPr>
        <a:lvl7pPr marL="0" marR="0" indent="0" algn="l" defTabSz="914400" rtl="0" fontAlgn="auto" latinLnBrk="1" hangingPunct="0">
          <a:lnSpc>
            <a:spcPct val="100000"/>
          </a:lnSpc>
          <a:spcBef>
            <a:spcPts val="0"/>
          </a:spcBef>
          <a:spcAft>
            <a:spcPts val="0"/>
          </a:spcAft>
          <a:buClrTx/>
          <a:buSzTx/>
          <a:buFontTx/>
          <a:buNone/>
          <a:tabLst/>
          <a:defRPr b="0" baseline="0" cap="none" i="0" spc="0" strike="noStrike" sz="1800" u="none" kumimoji="0" normalizeH="0">
            <a:ln>
              <a:noFill/>
            </a:ln>
            <a:solidFill>
              <a:srgbClr val="000000"/>
            </a:solidFill>
            <a:effectLst/>
            <a:uFillTx/>
          </a:defRPr>
        </a:lvl7pPr>
        <a:lvl8pPr marL="0" marR="0" indent="0" algn="l" defTabSz="914400" rtl="0" fontAlgn="auto" latinLnBrk="1" hangingPunct="0">
          <a:lnSpc>
            <a:spcPct val="100000"/>
          </a:lnSpc>
          <a:spcBef>
            <a:spcPts val="0"/>
          </a:spcBef>
          <a:spcAft>
            <a:spcPts val="0"/>
          </a:spcAft>
          <a:buClrTx/>
          <a:buSzTx/>
          <a:buFontTx/>
          <a:buNone/>
          <a:tabLst/>
          <a:defRPr b="0" baseline="0" cap="none" i="0" spc="0" strike="noStrike" sz="1800" u="none" kumimoji="0" normalizeH="0">
            <a:ln>
              <a:noFill/>
            </a:ln>
            <a:solidFill>
              <a:srgbClr val="000000"/>
            </a:solidFill>
            <a:effectLst/>
            <a:uFillTx/>
          </a:defRPr>
        </a:lvl8pPr>
        <a:lvl9pPr marL="0" marR="0" indent="0" algn="l" defTabSz="914400" rtl="0" fontAlgn="auto" latinLnBrk="1" hangingPunct="0">
          <a:lnSpc>
            <a:spcPct val="100000"/>
          </a:lnSpc>
          <a:spcBef>
            <a:spcPts val="0"/>
          </a:spcBef>
          <a:spcAft>
            <a:spcPts val="0"/>
          </a:spcAft>
          <a:buClrTx/>
          <a:buSzTx/>
          <a:buFontTx/>
          <a:buNone/>
          <a:tabLst/>
          <a:defRPr b="0" baseline="0" cap="none" i="0" spc="0" strike="noStrike" sz="1800" u="none" kumimoji="0" normalizeH="0">
            <a:ln>
              <a:noFill/>
            </a:ln>
            <a:solidFill>
              <a:srgbClr val="000000"/>
            </a:solidFill>
            <a:effectLst/>
            <a:uFillTx/>
          </a:defRPr>
        </a:lvl9pPr>
      </a:lstStyle>
      <a:style>
        <a:lnRef idx="0"/>
        <a:fillRef idx="0"/>
        <a:effectRef idx="0"/>
        <a:fontRef idx="none"/>
      </a:style>
    </a:lnDef>
    <a:txDef>
      <a:spPr>
        <a:noFill/>
        <a:ln w="12700" cap="flat">
          <a:noFill/>
          <a:miter lim="400000"/>
        </a:ln>
        <a:effectLst/>
        <a:sp3d/>
      </a:spPr>
      <a:bodyPr rot="0" spcFirstLastPara="1" vertOverflow="overflow" horzOverflow="overflow" vert="horz" wrap="square" lIns="50800" tIns="50800" rIns="50800" bIns="50800" numCol="1" spcCol="38100" rtlCol="0" anchor="t" upright="0">
        <a:spAutoFit/>
      </a:bodyPr>
      <a:lstStyle>
        <a:defPPr marL="0" marR="0" indent="0" algn="l" defTabSz="457200" rtl="0" fontAlgn="auto" latinLnBrk="0" hangingPunct="0">
          <a:lnSpc>
            <a:spcPct val="100000"/>
          </a:lnSpc>
          <a:spcBef>
            <a:spcPts val="0"/>
          </a:spcBef>
          <a:spcAft>
            <a:spcPts val="0"/>
          </a:spcAft>
          <a:buClrTx/>
          <a:buSzTx/>
          <a:buFontTx/>
          <a:buNone/>
          <a:tabLst/>
          <a:defRPr b="0" baseline="0" cap="none" i="0" spc="0" strike="noStrike" sz="1100" u="none" kumimoji="0" normalizeH="0">
            <a:ln>
              <a:noFill/>
            </a:ln>
            <a:solidFill>
              <a:srgbClr val="000000"/>
            </a:solidFill>
            <a:effectLst/>
            <a:uFillTx/>
            <a:latin typeface="+mn-lt"/>
            <a:ea typeface="+mn-ea"/>
            <a:cs typeface="+mn-cs"/>
            <a:sym typeface="Helvetica Neue"/>
          </a:defRPr>
        </a:defPPr>
        <a:lvl1pPr marL="0" marR="0" indent="0" algn="l" defTabSz="914400" rtl="0" fontAlgn="auto" latinLnBrk="1" hangingPunct="0">
          <a:lnSpc>
            <a:spcPct val="100000"/>
          </a:lnSpc>
          <a:spcBef>
            <a:spcPts val="0"/>
          </a:spcBef>
          <a:spcAft>
            <a:spcPts val="0"/>
          </a:spcAft>
          <a:buClrTx/>
          <a:buSzTx/>
          <a:buFontTx/>
          <a:buNone/>
          <a:tabLst/>
          <a:defRPr b="0" baseline="0" cap="none" i="0" spc="0" strike="noStrike" sz="1800" u="none" kumimoji="0" normalizeH="0">
            <a:ln>
              <a:noFill/>
            </a:ln>
            <a:solidFill>
              <a:srgbClr val="000000"/>
            </a:solidFill>
            <a:effectLst/>
            <a:uFillTx/>
          </a:defRPr>
        </a:lvl1pPr>
        <a:lvl2pPr marL="0" marR="0" indent="0" algn="l" defTabSz="914400" rtl="0" fontAlgn="auto" latinLnBrk="1" hangingPunct="0">
          <a:lnSpc>
            <a:spcPct val="100000"/>
          </a:lnSpc>
          <a:spcBef>
            <a:spcPts val="0"/>
          </a:spcBef>
          <a:spcAft>
            <a:spcPts val="0"/>
          </a:spcAft>
          <a:buClrTx/>
          <a:buSzTx/>
          <a:buFontTx/>
          <a:buNone/>
          <a:tabLst/>
          <a:defRPr b="0" baseline="0" cap="none" i="0" spc="0" strike="noStrike" sz="1800" u="none" kumimoji="0" normalizeH="0">
            <a:ln>
              <a:noFill/>
            </a:ln>
            <a:solidFill>
              <a:srgbClr val="000000"/>
            </a:solidFill>
            <a:effectLst/>
            <a:uFillTx/>
          </a:defRPr>
        </a:lvl2pPr>
        <a:lvl3pPr marL="0" marR="0" indent="0" algn="l" defTabSz="914400" rtl="0" fontAlgn="auto" latinLnBrk="1" hangingPunct="0">
          <a:lnSpc>
            <a:spcPct val="100000"/>
          </a:lnSpc>
          <a:spcBef>
            <a:spcPts val="0"/>
          </a:spcBef>
          <a:spcAft>
            <a:spcPts val="0"/>
          </a:spcAft>
          <a:buClrTx/>
          <a:buSzTx/>
          <a:buFontTx/>
          <a:buNone/>
          <a:tabLst/>
          <a:defRPr b="0" baseline="0" cap="none" i="0" spc="0" strike="noStrike" sz="1800" u="none" kumimoji="0" normalizeH="0">
            <a:ln>
              <a:noFill/>
            </a:ln>
            <a:solidFill>
              <a:srgbClr val="000000"/>
            </a:solidFill>
            <a:effectLst/>
            <a:uFillTx/>
          </a:defRPr>
        </a:lvl3pPr>
        <a:lvl4pPr marL="0" marR="0" indent="0" algn="l" defTabSz="914400" rtl="0" fontAlgn="auto" latinLnBrk="1" hangingPunct="0">
          <a:lnSpc>
            <a:spcPct val="100000"/>
          </a:lnSpc>
          <a:spcBef>
            <a:spcPts val="0"/>
          </a:spcBef>
          <a:spcAft>
            <a:spcPts val="0"/>
          </a:spcAft>
          <a:buClrTx/>
          <a:buSzTx/>
          <a:buFontTx/>
          <a:buNone/>
          <a:tabLst/>
          <a:defRPr b="0" baseline="0" cap="none" i="0" spc="0" strike="noStrike" sz="1800" u="none" kumimoji="0" normalizeH="0">
            <a:ln>
              <a:noFill/>
            </a:ln>
            <a:solidFill>
              <a:srgbClr val="000000"/>
            </a:solidFill>
            <a:effectLst/>
            <a:uFillTx/>
          </a:defRPr>
        </a:lvl4pPr>
        <a:lvl5pPr marL="0" marR="0" indent="0" algn="l" defTabSz="914400" rtl="0" fontAlgn="auto" latinLnBrk="1" hangingPunct="0">
          <a:lnSpc>
            <a:spcPct val="100000"/>
          </a:lnSpc>
          <a:spcBef>
            <a:spcPts val="0"/>
          </a:spcBef>
          <a:spcAft>
            <a:spcPts val="0"/>
          </a:spcAft>
          <a:buClrTx/>
          <a:buSzTx/>
          <a:buFontTx/>
          <a:buNone/>
          <a:tabLst/>
          <a:defRPr b="0" baseline="0" cap="none" i="0" spc="0" strike="noStrike" sz="1800" u="none" kumimoji="0" normalizeH="0">
            <a:ln>
              <a:noFill/>
            </a:ln>
            <a:solidFill>
              <a:srgbClr val="000000"/>
            </a:solidFill>
            <a:effectLst/>
            <a:uFillTx/>
          </a:defRPr>
        </a:lvl5pPr>
        <a:lvl6pPr marL="0" marR="0" indent="0" algn="l" defTabSz="914400" rtl="0" fontAlgn="auto" latinLnBrk="1" hangingPunct="0">
          <a:lnSpc>
            <a:spcPct val="100000"/>
          </a:lnSpc>
          <a:spcBef>
            <a:spcPts val="0"/>
          </a:spcBef>
          <a:spcAft>
            <a:spcPts val="0"/>
          </a:spcAft>
          <a:buClrTx/>
          <a:buSzTx/>
          <a:buFontTx/>
          <a:buNone/>
          <a:tabLst/>
          <a:defRPr b="0" baseline="0" cap="none" i="0" spc="0" strike="noStrike" sz="1800" u="none" kumimoji="0" normalizeH="0">
            <a:ln>
              <a:noFill/>
            </a:ln>
            <a:solidFill>
              <a:srgbClr val="000000"/>
            </a:solidFill>
            <a:effectLst/>
            <a:uFillTx/>
          </a:defRPr>
        </a:lvl6pPr>
        <a:lvl7pPr marL="0" marR="0" indent="0" algn="l" defTabSz="914400" rtl="0" fontAlgn="auto" latinLnBrk="1" hangingPunct="0">
          <a:lnSpc>
            <a:spcPct val="100000"/>
          </a:lnSpc>
          <a:spcBef>
            <a:spcPts val="0"/>
          </a:spcBef>
          <a:spcAft>
            <a:spcPts val="0"/>
          </a:spcAft>
          <a:buClrTx/>
          <a:buSzTx/>
          <a:buFontTx/>
          <a:buNone/>
          <a:tabLst/>
          <a:defRPr b="0" baseline="0" cap="none" i="0" spc="0" strike="noStrike" sz="1800" u="none" kumimoji="0" normalizeH="0">
            <a:ln>
              <a:noFill/>
            </a:ln>
            <a:solidFill>
              <a:srgbClr val="000000"/>
            </a:solidFill>
            <a:effectLst/>
            <a:uFillTx/>
          </a:defRPr>
        </a:lvl7pPr>
        <a:lvl8pPr marL="0" marR="0" indent="0" algn="l" defTabSz="914400" rtl="0" fontAlgn="auto" latinLnBrk="1" hangingPunct="0">
          <a:lnSpc>
            <a:spcPct val="100000"/>
          </a:lnSpc>
          <a:spcBef>
            <a:spcPts val="0"/>
          </a:spcBef>
          <a:spcAft>
            <a:spcPts val="0"/>
          </a:spcAft>
          <a:buClrTx/>
          <a:buSzTx/>
          <a:buFontTx/>
          <a:buNone/>
          <a:tabLst/>
          <a:defRPr b="0" baseline="0" cap="none" i="0" spc="0" strike="noStrike" sz="1800" u="none" kumimoji="0" normalizeH="0">
            <a:ln>
              <a:noFill/>
            </a:ln>
            <a:solidFill>
              <a:srgbClr val="000000"/>
            </a:solidFill>
            <a:effectLst/>
            <a:uFillTx/>
          </a:defRPr>
        </a:lvl8pPr>
        <a:lvl9pPr marL="0" marR="0" indent="0" algn="l" defTabSz="914400" rtl="0" fontAlgn="auto" latinLnBrk="1" hangingPunct="0">
          <a:lnSpc>
            <a:spcPct val="100000"/>
          </a:lnSpc>
          <a:spcBef>
            <a:spcPts val="0"/>
          </a:spcBef>
          <a:spcAft>
            <a:spcPts val="0"/>
          </a:spcAft>
          <a:buClrTx/>
          <a:buSzTx/>
          <a:buFontTx/>
          <a:buNone/>
          <a:tabLst/>
          <a:defRPr b="0" baseline="0" cap="none" i="0" spc="0" strike="noStrike" sz="1800" u="none" kumimoji="0" normalizeH="0">
            <a:ln>
              <a:noFill/>
            </a:ln>
            <a:solidFill>
              <a:srgbClr val="000000"/>
            </a:solidFill>
            <a:effectLst/>
            <a:uFillTx/>
          </a:defRPr>
        </a:lvl9pPr>
      </a:lstStyle>
      <a:style>
        <a:lnRef idx="0"/>
        <a:fillRef idx="0"/>
        <a:effectRef idx="0"/>
        <a:fontRef idx="none"/>
      </a:style>
    </a:txDef>
  </a:objectDefaults>
</a:theme>
</file>

<file path=docProps/app.xml><?xml version="1.0" encoding="utf-8"?>
<Properties xmlns="http://schemas.openxmlformats.org/officeDocument/2006/extended-properties" xmlns:vt="http://schemas.openxmlformats.org/officeDocument/2006/docPropsVTypes"/>
</file>

<file path=docProps/core.xml><?xml version="1.0" encoding="utf-8"?>
<cp:coreProperties xmlns:cp="http://schemas.openxmlformats.org/package/2006/metadata/core-properties" xmlns:dc="http://purl.org/dc/elements/1.1/" xmlns:dcterms="http://purl.org/dc/terms/" xmlns:xsi="http://www.w3.org/2001/XMLSchema-instance"/>
</file>