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word/_rels/document.xml.rels" ContentType="application/vnd.openxmlformats-package.relationships+xml"/>
  <Override PartName="/word/media/image1.jpeg" ContentType="image/jpeg"/>
  <Override PartName="/word/media/image2.png" ContentType="image/png"/>
  <Override PartName="/word/settings.xml" ContentType="application/vnd.openxmlformats-officedocument.wordprocessingml.settings+xml"/>
  <Override PartName="/word/header1.xml" ContentType="application/vnd.openxmlformats-officedocument.wordprocessingml.header+xml"/>
  <Override PartName="/word/fontTable.xml" ContentType="application/vnd.openxmlformats-officedocument.wordprocessingml.fontTabl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spacing w:before="0" w:after="0"/>
        <w:jc w:val="center"/>
        <w:rPr/>
      </w:pPr>
      <w:r>
        <w:rPr>
          <w:rFonts w:ascii="Courier-Bold" w:hAnsi="Courier-Bold"/>
          <w:b/>
          <w:sz w:val="36"/>
        </w:rPr>
        <w:t>Research Professor Soo-young Jang</w:t>
      </w:r>
    </w:p>
    <w:p>
      <w:pPr>
        <w:pStyle w:val="Normal"/>
        <w:spacing w:before="0" w:after="0"/>
        <w:jc w:val="center"/>
        <w:rPr/>
      </w:pPr>
      <w:r>
        <w:rPr>
          <w:rFonts w:ascii="Courier-Bold" w:hAnsi="Courier-Bold"/>
          <w:b/>
          <w:sz w:val="36"/>
        </w:rPr>
        <w:t>selected for Sejong Science Fellowship</w:t>
      </w:r>
    </w:p>
    <w:p>
      <w:pPr>
        <w:pStyle w:val="Normal"/>
        <w:spacing w:before="0" w:after="0"/>
        <w:jc w:val="center"/>
        <w:rPr>
          <w:rFonts w:ascii="Courier-Bold" w:hAnsi="Courier-Bold"/>
          <w:b/>
          <w:b/>
          <w:sz w:val="24"/>
        </w:rPr>
      </w:pPr>
      <w:r>
        <w:rPr>
          <w:rFonts w:ascii="Courier-Bold" w:hAnsi="Courier-Bold"/>
          <w:b/>
          <w:sz w:val="24"/>
        </w:rPr>
      </w:r>
    </w:p>
    <w:p>
      <w:pPr>
        <w:pStyle w:val="Normal"/>
        <w:spacing w:before="0" w:after="0"/>
        <w:jc w:val="center"/>
        <w:rPr/>
      </w:pPr>
      <w:r>
        <w:rPr>
          <w:rFonts w:ascii="Courier-Bold" w:hAnsi="Courier-Bold"/>
          <w:b/>
          <w:sz w:val="24"/>
        </w:rPr>
        <w:t xml:space="preserve">– </w:t>
      </w:r>
      <w:r>
        <w:rPr>
          <w:rFonts w:ascii="Courier-Bold" w:hAnsi="Courier-Bold"/>
          <w:b/>
          <w:sz w:val="24"/>
        </w:rPr>
        <w:t>Conducts research on improving the stability</w:t>
      </w:r>
    </w:p>
    <w:p>
      <w:pPr>
        <w:pStyle w:val="Normal"/>
        <w:spacing w:before="0" w:after="0"/>
        <w:jc w:val="center"/>
        <w:rPr/>
      </w:pPr>
      <w:r>
        <w:rPr>
          <w:rFonts w:ascii="Courier-Bold" w:hAnsi="Courier-Bold"/>
          <w:b/>
          <w:sz w:val="24"/>
        </w:rPr>
        <w:t>and efficiency of organic solar cells</w:t>
      </w:r>
    </w:p>
    <w:p>
      <w:pPr>
        <w:pStyle w:val="Normal"/>
        <w:spacing w:before="0" w:after="0"/>
        <w:jc w:val="center"/>
        <w:rPr>
          <w:rFonts w:ascii="Courier" w:hAnsi="Courier"/>
          <w:sz w:val="24"/>
        </w:rPr>
      </w:pPr>
      <w:r>
        <w:rPr>
          <w:rFonts w:ascii="Courier" w:hAnsi="Courier"/>
          <w:sz w:val="24"/>
        </w:rPr>
      </w:r>
    </w:p>
    <w:p>
      <w:pPr>
        <w:pStyle w:val="Normal"/>
        <w:widowControl w:val="false"/>
        <w:bidi w:val="0"/>
        <w:jc w:val="center"/>
        <w:rPr/>
      </w:pPr>
      <w:r>
        <w:rPr/>
        <w:drawing>
          <wp:inline distT="0" distB="0" distL="0" distR="0">
            <wp:extent cx="2219960" cy="2906395"/>
            <wp:effectExtent l="0" t="0" r="0" b="0"/>
            <wp:docPr id="1" name="Image1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Image1" descr="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19960" cy="29063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/>
        <w:t xml:space="preserve"> </w:t>
      </w:r>
    </w:p>
    <w:p>
      <w:pPr>
        <w:pStyle w:val="Normal"/>
        <w:spacing w:before="0" w:after="0"/>
        <w:jc w:val="center"/>
        <w:rPr/>
      </w:pPr>
      <w:r>
        <w:rPr>
          <w:rFonts w:ascii="Courier" w:hAnsi="Courier"/>
          <w:b w:val="false"/>
          <w:sz w:val="16"/>
        </w:rPr>
        <w:t xml:space="preserve">▲ </w:t>
      </w:r>
      <w:r>
        <w:rPr>
          <w:rFonts w:ascii="Courier" w:hAnsi="Courier"/>
          <w:b w:val="false"/>
          <w:sz w:val="16"/>
        </w:rPr>
        <w:t>Research Professor Soo-young Jang</w:t>
      </w:r>
    </w:p>
    <w:p>
      <w:pPr>
        <w:pStyle w:val="Normal"/>
        <w:spacing w:before="0" w:after="0"/>
        <w:rPr>
          <w:rFonts w:ascii="Courier" w:hAnsi="Courier"/>
          <w:b w:val="false"/>
          <w:b w:val="false"/>
          <w:sz w:val="20"/>
        </w:rPr>
      </w:pPr>
      <w:r>
        <w:rPr>
          <w:rFonts w:ascii="Courier" w:hAnsi="Courier"/>
          <w:b w:val="false"/>
          <w:sz w:val="20"/>
        </w:rPr>
      </w:r>
    </w:p>
    <w:p>
      <w:pPr>
        <w:pStyle w:val="Normal"/>
        <w:spacing w:before="0" w:after="0"/>
        <w:jc w:val="both"/>
        <w:rPr/>
      </w:pPr>
      <w:r>
        <w:rPr>
          <w:rFonts w:ascii="Courier" w:hAnsi="Courier"/>
          <w:b w:val="false"/>
          <w:sz w:val="20"/>
        </w:rPr>
        <w:t>GIST (Gwangju Institute of Science and Technology, President Kiseon Kim) announced that Research Institute for Solar and sustainable Energies Research Professor Soo-young Jang was selected for the Sejong Science Fellowship for New Research in 2022 supported by the Ministry of Science and ICT and the National Research Foundation of Korea.</w:t>
      </w:r>
    </w:p>
    <w:p>
      <w:pPr>
        <w:pStyle w:val="Normal"/>
        <w:spacing w:before="0" w:after="0"/>
        <w:jc w:val="both"/>
        <w:rPr>
          <w:rFonts w:ascii="Courier" w:hAnsi="Courier"/>
          <w:b w:val="false"/>
          <w:b w:val="false"/>
          <w:sz w:val="20"/>
        </w:rPr>
      </w:pPr>
      <w:r>
        <w:rPr>
          <w:rFonts w:ascii="Courier" w:hAnsi="Courier"/>
          <w:b w:val="false"/>
          <w:sz w:val="20"/>
        </w:rPr>
      </w:r>
    </w:p>
    <w:p>
      <w:pPr>
        <w:pStyle w:val="Normal"/>
        <w:spacing w:before="0" w:after="0"/>
        <w:jc w:val="both"/>
        <w:rPr/>
      </w:pPr>
      <w:r>
        <w:rPr>
          <w:rFonts w:ascii="Courier" w:hAnsi="Courier"/>
          <w:b w:val="false"/>
          <w:sz w:val="20"/>
        </w:rPr>
        <w:t>The Sejong Science Fellowship is one of the basic research projects of the National Research Foundation for science and technology. This is a project that supports young scientists who are under the age of 39 or are within seven years of obtaining a doctoral degree to grow and settle as core science and technology experts.</w:t>
      </w:r>
    </w:p>
    <w:p>
      <w:pPr>
        <w:pStyle w:val="Normal"/>
        <w:spacing w:before="0" w:after="0"/>
        <w:jc w:val="both"/>
        <w:rPr>
          <w:rFonts w:ascii="Courier" w:hAnsi="Courier"/>
          <w:b w:val="false"/>
          <w:b w:val="false"/>
          <w:sz w:val="20"/>
        </w:rPr>
      </w:pPr>
      <w:r>
        <w:rPr>
          <w:rFonts w:ascii="Courier" w:hAnsi="Courier"/>
          <w:b w:val="false"/>
          <w:sz w:val="20"/>
        </w:rPr>
      </w:r>
    </w:p>
    <w:p>
      <w:pPr>
        <w:pStyle w:val="Normal"/>
        <w:spacing w:before="0" w:after="0"/>
        <w:jc w:val="both"/>
        <w:rPr/>
      </w:pPr>
      <w:r>
        <w:rPr>
          <w:rFonts w:ascii="Courier" w:hAnsi="Courier"/>
          <w:b w:val="false"/>
          <w:sz w:val="20"/>
        </w:rPr>
        <w:t>Research Professor Soo-young Jang proposed the 'development of a non-volatile solid additive that improves the stability and efficiency of organic solar cells' and will receive a total of 530 million won in research funding over the next five years.</w:t>
      </w:r>
    </w:p>
    <w:p>
      <w:pPr>
        <w:pStyle w:val="Normal"/>
        <w:spacing w:before="0" w:after="0"/>
        <w:jc w:val="both"/>
        <w:rPr>
          <w:rFonts w:ascii="Courier" w:hAnsi="Courier"/>
          <w:b w:val="false"/>
          <w:b w:val="false"/>
          <w:sz w:val="20"/>
        </w:rPr>
      </w:pPr>
      <w:r>
        <w:rPr>
          <w:rFonts w:ascii="Courier" w:hAnsi="Courier"/>
          <w:b w:val="false"/>
          <w:sz w:val="20"/>
        </w:rPr>
      </w:r>
    </w:p>
    <w:p>
      <w:pPr>
        <w:pStyle w:val="Normal"/>
        <w:spacing w:before="0" w:after="0"/>
        <w:jc w:val="both"/>
        <w:rPr/>
      </w:pPr>
      <w:r>
        <w:rPr>
          <w:rFonts w:ascii="Courier" w:hAnsi="Courier"/>
          <w:b w:val="false"/>
          <w:sz w:val="20"/>
        </w:rPr>
        <w:t>Organic solar cells are attracting attention as next-generation solar cells that can be mass-produced through the roll-to-roll printing process because they can be solution-processed. Compared to commercially available silicon solar cells, they are experiencing difficulties in commercialization due to low efficiency and stability.</w:t>
      </w:r>
    </w:p>
    <w:p>
      <w:pPr>
        <w:pStyle w:val="Normal"/>
        <w:spacing w:before="0" w:after="0"/>
        <w:jc w:val="both"/>
        <w:rPr>
          <w:rFonts w:ascii="Courier" w:hAnsi="Courier"/>
          <w:b w:val="false"/>
          <w:b w:val="false"/>
          <w:sz w:val="20"/>
        </w:rPr>
      </w:pPr>
      <w:r>
        <w:rPr>
          <w:rFonts w:ascii="Courier" w:hAnsi="Courier"/>
          <w:b w:val="false"/>
          <w:sz w:val="20"/>
        </w:rPr>
      </w:r>
    </w:p>
    <w:p>
      <w:pPr>
        <w:pStyle w:val="Normal"/>
        <w:spacing w:before="0" w:after="0"/>
        <w:jc w:val="both"/>
        <w:rPr/>
      </w:pPr>
      <w:r>
        <w:rPr>
          <w:rFonts w:ascii="Courier" w:hAnsi="Courier"/>
          <w:b w:val="false"/>
          <w:sz w:val="20"/>
        </w:rPr>
        <w:t>Research Professor Jang plans to conduct research on non-volatile solid additives that can improve the efficiency and stability of organic solar cells through this project.</w:t>
      </w:r>
    </w:p>
    <w:p>
      <w:pPr>
        <w:pStyle w:val="Normal"/>
        <w:spacing w:before="0" w:after="0"/>
        <w:jc w:val="both"/>
        <w:rPr>
          <w:rFonts w:ascii="Courier" w:hAnsi="Courier"/>
          <w:b w:val="false"/>
          <w:b w:val="false"/>
          <w:sz w:val="20"/>
        </w:rPr>
      </w:pPr>
      <w:r>
        <w:rPr>
          <w:rFonts w:ascii="Courier" w:hAnsi="Courier"/>
          <w:b w:val="false"/>
          <w:sz w:val="20"/>
        </w:rPr>
      </w:r>
    </w:p>
    <w:p>
      <w:pPr>
        <w:pStyle w:val="Normal"/>
        <w:spacing w:before="0" w:after="0"/>
        <w:jc w:val="both"/>
        <w:rPr/>
      </w:pPr>
      <w:r>
        <w:rPr>
          <w:rFonts w:ascii="Courier" w:hAnsi="Courier"/>
          <w:b w:val="false"/>
          <w:sz w:val="20"/>
        </w:rPr>
        <w:t>The non-volatile solid additive proposed in this project is expected to exist stably in the photoactive layer for a long period of time compared to the conventional liquid additive widely used in organic solar cells, thereby increasing solar cell efficiency and device stability.</w:t>
      </w:r>
    </w:p>
    <w:p>
      <w:pPr>
        <w:pStyle w:val="Normal"/>
        <w:spacing w:before="0" w:after="0"/>
        <w:jc w:val="both"/>
        <w:rPr>
          <w:rFonts w:ascii="Courier" w:hAnsi="Courier"/>
          <w:b w:val="false"/>
          <w:b w:val="false"/>
          <w:sz w:val="20"/>
        </w:rPr>
      </w:pPr>
      <w:r>
        <w:rPr>
          <w:rFonts w:ascii="Courier" w:hAnsi="Courier"/>
          <w:b w:val="false"/>
          <w:sz w:val="20"/>
        </w:rPr>
      </w:r>
    </w:p>
    <w:p>
      <w:pPr>
        <w:pStyle w:val="Normal"/>
        <w:spacing w:before="0" w:after="0"/>
        <w:jc w:val="both"/>
        <w:rPr/>
      </w:pPr>
      <w:r>
        <w:rPr>
          <w:rFonts w:ascii="Courier" w:hAnsi="Courier"/>
          <w:b w:val="false"/>
          <w:sz w:val="20"/>
        </w:rPr>
        <w:t>Research Professor Soo-young Jang said, "Non-volatile solid additives can be applied to research on improving the efficiency and stability of various organic-inorganic hybrid solar cells, such as perovskite solar cells and quantum dot solar cells. Next-generation solar cells with this technology can be used as a power supply source for building-integrated photovoltaic power generation and personal mobility, and this is expected to present a new paradigm for the photovoltaic industry."</w:t>
      </w:r>
    </w:p>
    <w:p>
      <w:pPr>
        <w:pStyle w:val="Normal"/>
        <w:spacing w:before="0" w:after="0"/>
        <w:rPr>
          <w:rFonts w:ascii="Courier" w:hAnsi="Courier"/>
          <w:b w:val="false"/>
          <w:b w:val="false"/>
          <w:sz w:val="20"/>
        </w:rPr>
      </w:pPr>
      <w:r>
        <w:rPr>
          <w:rFonts w:ascii="Courier" w:hAnsi="Courier"/>
          <w:b w:val="false"/>
          <w:sz w:val="20"/>
        </w:rPr>
      </w:r>
    </w:p>
    <w:p>
      <w:pPr>
        <w:pStyle w:val="Normal"/>
        <w:bidi w:val="0"/>
        <w:jc w:val="left"/>
        <w:rPr/>
      </w:pPr>
      <w:r>
        <w:rPr/>
        <w:drawing>
          <wp:inline distT="0" distB="0" distL="0" distR="0">
            <wp:extent cx="487680" cy="274320"/>
            <wp:effectExtent l="0" t="0" r="0" b="0"/>
            <wp:docPr id="2" name="Image2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2" descr=""/>
                    <pic:cNvPicPr>
                      <a:picLocks noChangeAspect="1" noChangeArrowheads="1"/>
                    </pic:cNvPicPr>
                  </pic:nvPicPr>
                  <pic:blipFill>
                    <a:blip r:embed="rId3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7680" cy="2743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>
      <w:headerReference w:type="default" r:id="rId4"/>
      <w:footerReference w:type="default" r:id="rId5"/>
      <w:type w:val="nextPage"/>
      <w:pgSz w:w="11906" w:h="16838"/>
      <w:pgMar w:left="1008" w:right="1008" w:header="608" w:top="1008" w:footer="608" w:bottom="1008" w:gutter="0"/>
      <w:pgNumType w:start="1" w:fmt="decimal"/>
      <w:formProt w:val="false"/>
      <w:textDirection w:val="lrTb"/>
      <w:docGrid w:type="default" w:linePitch="10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Times New Roman">
    <w:charset w:val="01"/>
    <w:family w:val="roman"/>
    <w:pitch w:val="variable"/>
  </w:font>
  <w:font w:name="Times-Roman">
    <w:altName w:val="Times New Roman"/>
    <w:charset w:val="01"/>
    <w:family w:val="roman"/>
    <w:pitch w:val="variable"/>
  </w:font>
  <w:font w:name="Tahoma-Bold">
    <w:charset w:val="01"/>
    <w:family w:val="roman"/>
    <w:pitch w:val="variable"/>
  </w:font>
  <w:font w:name="Tahoma">
    <w:charset w:val="01"/>
    <w:family w:val="roman"/>
    <w:pitch w:val="variable"/>
  </w:font>
  <w:font w:name="Arial">
    <w:charset w:val="01"/>
    <w:family w:val="swiss"/>
    <w:pitch w:val="variable"/>
  </w:font>
  <w:font w:name="Courier-Bold">
    <w:charset w:val="01"/>
    <w:family w:val="roman"/>
    <w:pitch w:val="variable"/>
  </w:font>
  <w:font w:name="Courier">
    <w:altName w:val="Courier New"/>
    <w:charset w:val="01"/>
    <w:family w:val="roman"/>
    <w:pitch w:val="variable"/>
  </w:font>
</w:fonts>
</file>

<file path=word/footer1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Footer"/>
      <w:bidi w:val="0"/>
      <w:jc w:val="left"/>
      <w:rPr>
        <w:rFonts w:ascii="Times-Roman" w:hAnsi="Times-Roman"/>
        <w:b w:val="false"/>
        <w:b w:val="false"/>
        <w:i w:val="false"/>
        <w:i w:val="false"/>
        <w:sz w:val="24"/>
      </w:rPr>
    </w:pPr>
    <w:r>
      <w:rPr>
        <w:b w:val="false"/>
        <w:i w:val="false"/>
        <w:sz w:val="24"/>
      </w:rPr>
    </w:r>
  </w:p>
</w:ftr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Header"/>
      <w:bidi w:val="0"/>
      <w:jc w:val="left"/>
      <w:rPr>
        <w:rFonts w:ascii="Times-Roman" w:hAnsi="Times-Roman"/>
        <w:b w:val="false"/>
        <w:b w:val="false"/>
        <w:i w:val="false"/>
        <w:i w:val="false"/>
        <w:sz w:val="24"/>
      </w:rPr>
    </w:pPr>
    <w:r>
      <w:rPr>
        <w:b w:val="false"/>
        <w:i w:val="false"/>
        <w:sz w:val="24"/>
      </w:rPr>
    </w:r>
  </w:p>
</w:hdr>
</file>

<file path=word/settings.xml><?xml version="1.0" encoding="utf-8"?>
<w:settings xmlns:w="http://schemas.openxmlformats.org/wordprocessingml/2006/main">
  <w:zoom w:percent="100"/>
  <w:defaultTabStop w:val="720"/>
  <w:autoHyphenation w:val="true"/>
  <w:compat>
    <w:compatSetting w:name="compatibilityMode" w:uri="http://schemas.microsoft.com/office/word" w:val="12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Songti SC" w:cs="Arial Unicode MS"/>
        <w:kern w:val="2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/>
      <w:suppressAutoHyphens w:val="false"/>
      <w:bidi w:val="0"/>
      <w:spacing w:lineRule="auto" w:line="240" w:before="0" w:after="0"/>
      <w:jc w:val="left"/>
    </w:pPr>
    <w:rPr>
      <w:rFonts w:ascii="Times-Roman" w:hAnsi="Times-Roman" w:eastAsia="Courier" w:cs="Tahoma-Bold"/>
      <w:b w:val="false"/>
      <w:i w:val="false"/>
      <w:color w:val="auto"/>
      <w:kern w:val="2"/>
      <w:sz w:val="24"/>
      <w:szCs w:val="24"/>
      <w:lang w:val="en-US" w:eastAsia="zh-CN" w:bidi="hi-IN"/>
    </w:rPr>
  </w:style>
  <w:style w:type="paragraph" w:styleId="Heading1">
    <w:name w:val="Heading 1"/>
    <w:basedOn w:val="Normal"/>
    <w:qFormat/>
    <w:pPr>
      <w:keepNext w:val="true"/>
      <w:widowControl/>
      <w:suppressAutoHyphens w:val="false"/>
      <w:bidi w:val="0"/>
      <w:spacing w:lineRule="auto" w:line="240" w:before="120" w:after="0"/>
      <w:jc w:val="left"/>
    </w:pPr>
    <w:rPr>
      <w:rFonts w:ascii="Tahoma-Bold" w:hAnsi="Tahoma-Bold"/>
      <w:b/>
      <w:i w:val="false"/>
      <w:sz w:val="28"/>
    </w:rPr>
  </w:style>
  <w:style w:type="paragraph" w:styleId="Heading2">
    <w:name w:val="Heading 2"/>
    <w:basedOn w:val="Heading1"/>
    <w:qFormat/>
    <w:pPr>
      <w:keepNext w:val="true"/>
      <w:widowControl/>
      <w:suppressAutoHyphens w:val="false"/>
      <w:bidi w:val="0"/>
      <w:spacing w:lineRule="auto" w:line="240" w:before="120" w:after="0"/>
      <w:jc w:val="left"/>
    </w:pPr>
    <w:rPr>
      <w:rFonts w:ascii="Tahoma-Bold" w:hAnsi="Tahoma-Bold"/>
      <w:b/>
      <w:i w:val="false"/>
      <w:sz w:val="26"/>
    </w:rPr>
  </w:style>
  <w:style w:type="paragraph" w:styleId="Heading3">
    <w:name w:val="Heading 3"/>
    <w:basedOn w:val="Heading2"/>
    <w:qFormat/>
    <w:pPr>
      <w:keepNext w:val="true"/>
      <w:widowControl/>
      <w:suppressAutoHyphens w:val="false"/>
      <w:bidi w:val="0"/>
      <w:spacing w:lineRule="auto" w:line="240" w:before="120" w:after="0"/>
      <w:jc w:val="left"/>
    </w:pPr>
    <w:rPr>
      <w:rFonts w:ascii="Tahoma-Bold" w:hAnsi="Tahoma-Bold"/>
      <w:b/>
      <w:i/>
      <w:sz w:val="26"/>
    </w:rPr>
  </w:style>
  <w:style w:type="paragraph" w:styleId="Heading4">
    <w:name w:val="Heading 4"/>
    <w:basedOn w:val="Heading3"/>
    <w:qFormat/>
    <w:pPr>
      <w:keepNext w:val="true"/>
      <w:widowControl/>
      <w:suppressAutoHyphens w:val="false"/>
      <w:bidi w:val="0"/>
      <w:spacing w:lineRule="auto" w:line="240" w:before="120" w:after="0"/>
      <w:jc w:val="left"/>
    </w:pPr>
    <w:rPr>
      <w:rFonts w:ascii="Tahoma" w:hAnsi="Tahoma"/>
      <w:b w:val="false"/>
      <w:i w:val="false"/>
      <w:sz w:val="26"/>
    </w:rPr>
  </w:style>
  <w:style w:type="paragraph" w:styleId="Heading5">
    <w:name w:val="Heading 5"/>
    <w:basedOn w:val="Heading4"/>
    <w:qFormat/>
    <w:pPr>
      <w:keepNext w:val="true"/>
      <w:widowControl/>
      <w:suppressAutoHyphens w:val="false"/>
      <w:bidi w:val="0"/>
      <w:spacing w:lineRule="auto" w:line="240" w:before="120" w:after="0"/>
      <w:jc w:val="left"/>
    </w:pPr>
    <w:rPr>
      <w:rFonts w:ascii="Tahoma" w:hAnsi="Tahoma"/>
      <w:b w:val="false"/>
      <w:i w:val="false"/>
      <w:sz w:val="26"/>
      <w:u w:val="single"/>
    </w:rPr>
  </w:style>
  <w:style w:type="paragraph" w:styleId="Heading6">
    <w:name w:val="Heading 6"/>
    <w:basedOn w:val="Heading5"/>
    <w:qFormat/>
    <w:pPr>
      <w:keepNext w:val="true"/>
      <w:widowControl/>
      <w:suppressAutoHyphens w:val="false"/>
      <w:bidi w:val="0"/>
      <w:spacing w:lineRule="auto" w:line="240" w:before="120" w:after="0"/>
      <w:jc w:val="left"/>
    </w:pPr>
    <w:rPr>
      <w:rFonts w:ascii="Tahoma" w:hAnsi="Tahoma"/>
      <w:b w:val="false"/>
      <w:i/>
      <w:sz w:val="26"/>
      <w:u w:val="single"/>
    </w:rPr>
  </w:style>
  <w:style w:type="character" w:styleId="Strong">
    <w:name w:val="Strong"/>
    <w:qFormat/>
    <w:rPr>
      <w:b/>
    </w:rPr>
  </w:style>
  <w:style w:type="character" w:styleId="NoteReference">
    <w:name w:val="Note Reference"/>
    <w:qFormat/>
    <w:rPr>
      <w:vertAlign w:val="superscript"/>
    </w:rPr>
  </w:style>
  <w:style w:type="character" w:styleId="NoteReferenceinNote">
    <w:name w:val="Note Reference in Note"/>
    <w:basedOn w:val="NoteReference"/>
    <w:qFormat/>
    <w:rPr/>
  </w:style>
  <w:style w:type="character" w:styleId="Emphatic">
    <w:name w:val="Emphatic"/>
    <w:qFormat/>
    <w:rPr>
      <w:i/>
    </w:rPr>
  </w:style>
  <w:style w:type="character" w:styleId="EndnoteCharacters">
    <w:name w:val="Endnote Characters"/>
    <w:qFormat/>
    <w:rPr/>
  </w:style>
  <w:style w:type="paragraph" w:styleId="Heading">
    <w:name w:val="Heading"/>
    <w:basedOn w:val="Normal"/>
    <w:next w:val="TextBody"/>
    <w:qFormat/>
    <w:pPr>
      <w:keepNext w:val="true"/>
      <w:spacing w:before="240" w:after="120"/>
    </w:pPr>
    <w:rPr>
      <w:rFonts w:ascii="Arial" w:hAnsi="Arial" w:eastAsia="PingFang SC" w:cs="Arial Unicode MS"/>
      <w:sz w:val="28"/>
      <w:szCs w:val="28"/>
    </w:rPr>
  </w:style>
  <w:style w:type="paragraph" w:styleId="TextBody">
    <w:name w:val="Body Text"/>
    <w:basedOn w:val="Normal"/>
    <w:pPr>
      <w:spacing w:lineRule="auto" w:line="276" w:before="0" w:after="140"/>
    </w:pPr>
    <w:rPr/>
  </w:style>
  <w:style w:type="paragraph" w:styleId="List">
    <w:name w:val="List"/>
    <w:basedOn w:val="TextBody"/>
    <w:pPr/>
    <w:rPr>
      <w:rFonts w:cs="Arial Unicode MS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 Unicode MS"/>
      <w:i/>
      <w:iCs/>
      <w:sz w:val="24"/>
      <w:szCs w:val="24"/>
    </w:rPr>
  </w:style>
  <w:style w:type="paragraph" w:styleId="Index">
    <w:name w:val="Index"/>
    <w:basedOn w:val="Normal"/>
    <w:qFormat/>
    <w:pPr>
      <w:suppressLineNumbers/>
    </w:pPr>
    <w:rPr>
      <w:rFonts w:cs="Arial Unicode MS"/>
    </w:rPr>
  </w:style>
  <w:style w:type="paragraph" w:styleId="Title">
    <w:name w:val="Title"/>
    <w:basedOn w:val="Normal"/>
    <w:qFormat/>
    <w:pPr>
      <w:widowControl/>
      <w:suppressAutoHyphens w:val="false"/>
      <w:bidi w:val="0"/>
      <w:spacing w:lineRule="auto" w:line="240" w:before="0" w:after="0"/>
      <w:jc w:val="center"/>
    </w:pPr>
    <w:rPr>
      <w:rFonts w:ascii="Tahoma-Bold" w:hAnsi="Tahoma-Bold"/>
      <w:b/>
      <w:i w:val="false"/>
      <w:sz w:val="28"/>
    </w:rPr>
  </w:style>
  <w:style w:type="paragraph" w:styleId="Endnote">
    <w:name w:val="Endnote Text"/>
    <w:basedOn w:val="Normal"/>
    <w:pPr>
      <w:widowControl/>
      <w:suppressAutoHyphens w:val="false"/>
      <w:bidi w:val="0"/>
      <w:spacing w:lineRule="auto" w:line="240" w:before="0" w:after="0"/>
      <w:jc w:val="left"/>
    </w:pPr>
    <w:rPr>
      <w:rFonts w:ascii="Times-Roman" w:hAnsi="Times-Roman"/>
      <w:b w:val="false"/>
      <w:i w:val="false"/>
    </w:rPr>
  </w:style>
  <w:style w:type="paragraph" w:styleId="Footnote">
    <w:name w:val="Footnote Text"/>
    <w:basedOn w:val="Normal"/>
    <w:pPr>
      <w:keepNext w:val="true"/>
      <w:keepLines/>
      <w:pageBreakBefore/>
      <w:widowControl w:val="false"/>
      <w:suppressAutoHyphens w:val="false"/>
      <w:bidi w:val="0"/>
      <w:spacing w:lineRule="auto" w:line="240" w:before="0" w:after="0"/>
      <w:jc w:val="left"/>
    </w:pPr>
    <w:rPr>
      <w:rFonts w:ascii="Times-Roman" w:hAnsi="Times-Roman"/>
      <w:b w:val="false"/>
      <w:i w:val="false"/>
    </w:rPr>
  </w:style>
  <w:style w:type="paragraph" w:styleId="HeaderandFooter">
    <w:name w:val="Header and Footer"/>
    <w:basedOn w:val="Normal"/>
    <w:qFormat/>
    <w:pPr/>
    <w:rPr/>
  </w:style>
  <w:style w:type="paragraph" w:styleId="Header">
    <w:name w:val="Header"/>
    <w:basedOn w:val="Normal"/>
    <w:pPr>
      <w:widowControl/>
      <w:suppressAutoHyphens w:val="false"/>
      <w:bidi w:val="0"/>
      <w:spacing w:lineRule="auto" w:line="240" w:before="0" w:after="0"/>
      <w:jc w:val="left"/>
    </w:pPr>
    <w:rPr>
      <w:rFonts w:ascii="Times-Roman" w:hAnsi="Times-Roman"/>
      <w:b w:val="false"/>
      <w:i w:val="false"/>
    </w:rPr>
  </w:style>
  <w:style w:type="paragraph" w:styleId="Footer">
    <w:name w:val="Footer"/>
    <w:basedOn w:val="Normal"/>
    <w:pPr>
      <w:widowControl/>
      <w:suppressAutoHyphens w:val="false"/>
      <w:bidi w:val="0"/>
      <w:spacing w:lineRule="auto" w:line="240" w:before="0" w:after="0"/>
      <w:jc w:val="left"/>
    </w:pPr>
    <w:rPr>
      <w:rFonts w:ascii="Times-Roman" w:hAnsi="Times-Roman"/>
      <w:b w:val="false"/>
      <w:i w:val="false"/>
    </w:rPr>
  </w:style>
  <w:style w:type="paragraph" w:styleId="BlockQuote">
    <w:name w:val="Block Quote"/>
    <w:basedOn w:val="Normal"/>
    <w:qFormat/>
    <w:pPr>
      <w:widowControl/>
      <w:suppressAutoHyphens w:val="false"/>
      <w:bidi w:val="0"/>
      <w:spacing w:lineRule="auto" w:line="240" w:before="0" w:after="0"/>
      <w:ind w:left="1080" w:right="1020" w:hanging="0"/>
      <w:jc w:val="left"/>
    </w:pPr>
    <w:rPr>
      <w:rFonts w:ascii="Times-Roman" w:hAnsi="Times-Roman"/>
      <w:b w:val="false"/>
      <w:i w:val="false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jpeg"/><Relationship Id="rId3" Type="http://schemas.openxmlformats.org/officeDocument/2006/relationships/image" Target="media/image2.png"/><Relationship Id="rId4" Type="http://schemas.openxmlformats.org/officeDocument/2006/relationships/header" Target="header1.xml"/><Relationship Id="rId5" Type="http://schemas.openxmlformats.org/officeDocument/2006/relationships/footer" Target="footer1.xml"/><Relationship Id="rId6" Type="http://schemas.openxmlformats.org/officeDocument/2006/relationships/fontTable" Target="fontTable.xml"/><Relationship Id="rId7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LibreOffice/7.0.6.2.0$MacOSX_X86_64 LibreOffice_project/361b498563308a59757140eb518aba762fd4fe48</Application>
  <AppVersion>15.0000</AppVersion>
  <Pages>99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2022-03-18T15:58:00Z</dcterms:created>
  <dc:creator>Ellis Lee</dc:creator>
  <dc:description/>
  <dc:language>en-US</dc:language>
  <cp:lastModifiedBy/>
  <cp:lastPrinted>2022-03-18T15:59:00Z</cp:lastPrinted>
  <dcterms:modified xsi:type="dcterms:W3CDTF">2022-03-18T15:59:00Z</dcterms:modified>
  <cp:revision>0</cp:revision>
  <dc:subject/>
  <dc:title/>
</cp:coreProperties>
</file>