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media/image1.jpeg" ContentType="image/jpeg"/>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Body"/>
        <w:jc w:val="center"/>
        <w:rPr>
          <w:rFonts w:ascii="Avenir Heavy" w:cs="Avenir Heavy" w:hAnsi="Avenir Heavy" w:eastAsia="Avenir Heavy"/>
          <w:sz w:val="36"/>
          <w:szCs w:val="36"/>
        </w:rPr>
      </w:pPr>
      <w:r>
        <w:rPr>
          <w:rFonts w:ascii="Avenir Heavy" w:hAnsi="Avenir Heavy"/>
          <w:sz w:val="36"/>
          <w:szCs w:val="36"/>
          <w:rtl w:val="0"/>
          <w:lang w:val="en-US"/>
        </w:rPr>
        <w:t>Big data analysis reveals key genes</w:t>
      </w:r>
    </w:p>
    <w:p>
      <w:pPr>
        <w:pStyle w:val="Body"/>
        <w:jc w:val="center"/>
        <w:rPr>
          <w:rFonts w:ascii="Avenir Heavy" w:cs="Avenir Heavy" w:hAnsi="Avenir Heavy" w:eastAsia="Avenir Heavy"/>
          <w:sz w:val="36"/>
          <w:szCs w:val="36"/>
        </w:rPr>
      </w:pPr>
      <w:r>
        <w:rPr>
          <w:rFonts w:ascii="Avenir Heavy" w:hAnsi="Avenir Heavy"/>
          <w:sz w:val="36"/>
          <w:szCs w:val="36"/>
          <w:rtl w:val="0"/>
          <w:lang w:val="en-US"/>
        </w:rPr>
        <w:t>that exacerbate thyroid cancer</w:t>
      </w:r>
    </w:p>
    <w:p>
      <w:pPr>
        <w:pStyle w:val="Body"/>
        <w:rPr>
          <w:rFonts w:ascii="Avenir Heavy" w:cs="Avenir Heavy" w:hAnsi="Avenir Heavy" w:eastAsia="Avenir Heavy"/>
        </w:rPr>
      </w:pPr>
    </w:p>
    <w:p>
      <w:pPr>
        <w:pStyle w:val="Body"/>
        <w:jc w:val="center"/>
        <w:rPr>
          <w:rFonts w:ascii="Avenir Heavy" w:cs="Avenir Heavy" w:hAnsi="Avenir Heavy" w:eastAsia="Avenir Heavy"/>
        </w:rPr>
      </w:pPr>
      <w:r>
        <w:rPr>
          <w:rFonts w:ascii="Avenir Heavy" w:hAnsi="Avenir Heavy"/>
          <w:rtl w:val="0"/>
          <w:lang w:val="en-US"/>
        </w:rPr>
        <w:t>- International joint research between GIST and Sichuan University Hospital discovers key genes that cause cancer progression and opens possibilities for early diagnosis and new treatments</w:t>
      </w:r>
    </w:p>
    <w:p>
      <w:pPr>
        <w:pStyle w:val="Body"/>
        <w:jc w:val="both"/>
        <w:rPr>
          <w:rFonts w:ascii="iA Writer Duospace Regular" w:cs="iA Writer Duospace Regular" w:hAnsi="iA Writer Duospace Regular" w:eastAsia="iA Writer Duospace Regular"/>
          <w:sz w:val="20"/>
          <w:szCs w:val="20"/>
        </w:rPr>
      </w:pPr>
    </w:p>
    <w:p>
      <w:pPr>
        <w:pStyle w:val="Default"/>
        <w:bidi w:val="0"/>
        <w:spacing w:before="0" w:line="240" w:lineRule="auto"/>
        <w:ind w:left="0" w:right="0" w:firstLine="0"/>
        <w:jc w:val="center"/>
        <w:rPr>
          <w:sz w:val="24"/>
          <w:szCs w:val="24"/>
          <w:rtl w:val="0"/>
        </w:rPr>
      </w:pPr>
      <w:r>
        <w:rPr>
          <w:sz w:val="24"/>
          <w:szCs w:val="24"/>
          <w:rtl w:val="0"/>
        </w:rPr>
        <w:t xml:space="preserve"> </w:t>
      </w:r>
    </w:p>
    <w:p>
      <w:pPr>
        <w:pStyle w:val="Body"/>
        <w:spacing w:line="288" w:lineRule="auto"/>
        <w:jc w:val="both"/>
        <w:rPr>
          <w:rFonts w:ascii="iA Writer Duospace Regular" w:cs="iA Writer Duospace Regular" w:hAnsi="iA Writer Duospace Regular" w:eastAsia="iA Writer Duospace Regular"/>
          <w:sz w:val="20"/>
          <w:szCs w:val="20"/>
        </w:rPr>
      </w:pPr>
      <w:r>
        <w:rPr>
          <w:rFonts w:ascii="iA Writer Duospace Regular" w:hAnsi="iA Writer Duospace Regular"/>
          <w:sz w:val="20"/>
          <w:szCs w:val="20"/>
          <w:rtl w:val="0"/>
          <w:lang w:val="en-US"/>
        </w:rPr>
        <w:t>Through international joint research between a Korean research team and Sichuan University Hospital in China, early diagnosis and new treatment for undifferentiated thyroid cancer, a deadly rare cancer that rapidly progresses and causes death within a short period of time, were presented.</w:t>
      </w:r>
    </w:p>
    <w:p>
      <w:pPr>
        <w:pStyle w:val="Body"/>
        <w:spacing w:line="288" w:lineRule="auto"/>
        <w:jc w:val="both"/>
        <w:rPr>
          <w:rFonts w:ascii="iA Writer Duospace Regular" w:cs="iA Writer Duospace Regular" w:hAnsi="iA Writer Duospace Regular" w:eastAsia="iA Writer Duospace Regular"/>
          <w:sz w:val="20"/>
          <w:szCs w:val="20"/>
        </w:rPr>
      </w:pPr>
    </w:p>
    <w:p>
      <w:pPr>
        <w:pStyle w:val="Body"/>
        <w:spacing w:line="288" w:lineRule="auto"/>
        <w:jc w:val="both"/>
        <w:rPr>
          <w:rFonts w:ascii="iA Writer Duospace Regular" w:cs="iA Writer Duospace Regular" w:hAnsi="iA Writer Duospace Regular" w:eastAsia="iA Writer Duospace Regular"/>
          <w:sz w:val="20"/>
          <w:szCs w:val="20"/>
        </w:rPr>
      </w:pPr>
      <w:r>
        <w:rPr>
          <w:rFonts w:ascii="iA Writer Duospace Regular" w:hAnsi="iA Writer Duospace Regular"/>
          <w:sz w:val="20"/>
          <w:szCs w:val="20"/>
          <w:rtl w:val="0"/>
          <w:lang w:val="en-US"/>
        </w:rPr>
        <w:t>GIST (Gwangju Institute of Science and Technology) School of Life Sciences Professor Jihwan Park's joint research team discovered the possibility of early diagnosis and new treatment by discovering genes that cause progression to undifferentiated thyroid cancer* using the latest single-cell analysis technology**.</w:t>
      </w:r>
    </w:p>
    <w:p>
      <w:pPr>
        <w:pStyle w:val="Body"/>
        <w:spacing w:line="288" w:lineRule="auto"/>
        <w:jc w:val="both"/>
        <w:rPr>
          <w:rFonts w:ascii="iA Writer Duospace Regular" w:cs="iA Writer Duospace Regular" w:hAnsi="iA Writer Duospace Regular" w:eastAsia="iA Writer Duospace Regular"/>
          <w:sz w:val="20"/>
          <w:szCs w:val="20"/>
        </w:rPr>
      </w:pPr>
    </w:p>
    <w:p>
      <w:pPr>
        <w:pStyle w:val="Body"/>
        <w:spacing w:line="288" w:lineRule="auto"/>
        <w:ind w:left="720"/>
        <w:jc w:val="both"/>
        <w:rPr>
          <w:rFonts w:ascii="iA Writer Duospace Regular" w:cs="iA Writer Duospace Regular" w:hAnsi="iA Writer Duospace Regular" w:eastAsia="iA Writer Duospace Regular"/>
          <w:sz w:val="16"/>
          <w:szCs w:val="16"/>
        </w:rPr>
      </w:pPr>
      <w:r>
        <w:rPr>
          <w:rFonts w:ascii="iA Writer Duospace Regular" w:hAnsi="iA Writer Duospace Regular"/>
          <w:sz w:val="16"/>
          <w:szCs w:val="16"/>
          <w:rtl w:val="0"/>
        </w:rPr>
        <w:t>*</w:t>
      </w:r>
      <w:r>
        <w:rPr>
          <w:rFonts w:ascii="iA Writer Duospace Regular" w:hAnsi="iA Writer Duospace Regular"/>
          <w:sz w:val="16"/>
          <w:szCs w:val="16"/>
          <w:rtl w:val="0"/>
          <w:lang w:val="en-US"/>
        </w:rPr>
        <w:t xml:space="preserve"> </w:t>
      </w:r>
      <w:r>
        <w:rPr>
          <w:rFonts w:ascii="iA Writer Duospace Regular" w:hAnsi="iA Writer Duospace Regular"/>
          <w:sz w:val="16"/>
          <w:szCs w:val="16"/>
          <w:rtl w:val="0"/>
          <w:lang w:val="en-US"/>
        </w:rPr>
        <w:t>undifferentiated thyroid cancer: Accounting for less than 1% of all thyroid cancers, it has the poorest prognosis with an average survival time of less than 1 year.</w:t>
      </w:r>
    </w:p>
    <w:p>
      <w:pPr>
        <w:pStyle w:val="Body"/>
        <w:spacing w:line="288" w:lineRule="auto"/>
        <w:ind w:left="720"/>
        <w:jc w:val="both"/>
        <w:rPr>
          <w:rFonts w:ascii="iA Writer Duospace Regular" w:cs="iA Writer Duospace Regular" w:hAnsi="iA Writer Duospace Regular" w:eastAsia="iA Writer Duospace Regular"/>
          <w:sz w:val="16"/>
          <w:szCs w:val="16"/>
        </w:rPr>
      </w:pPr>
    </w:p>
    <w:p>
      <w:pPr>
        <w:pStyle w:val="Body"/>
        <w:spacing w:line="288" w:lineRule="auto"/>
        <w:ind w:left="720"/>
        <w:jc w:val="both"/>
        <w:rPr>
          <w:rFonts w:ascii="iA Writer Duospace Regular" w:cs="iA Writer Duospace Regular" w:hAnsi="iA Writer Duospace Regular" w:eastAsia="iA Writer Duospace Regular"/>
          <w:sz w:val="16"/>
          <w:szCs w:val="16"/>
        </w:rPr>
      </w:pPr>
      <w:r>
        <w:rPr>
          <w:rFonts w:ascii="iA Writer Duospace Regular" w:hAnsi="iA Writer Duospace Regular"/>
          <w:sz w:val="16"/>
          <w:szCs w:val="16"/>
          <w:rtl w:val="0"/>
        </w:rPr>
        <w:t>**</w:t>
      </w:r>
      <w:r>
        <w:rPr>
          <w:rFonts w:ascii="iA Writer Duospace Regular" w:hAnsi="iA Writer Duospace Regular"/>
          <w:sz w:val="16"/>
          <w:szCs w:val="16"/>
          <w:rtl w:val="0"/>
          <w:lang w:val="en-US"/>
        </w:rPr>
        <w:t xml:space="preserve"> </w:t>
      </w:r>
      <w:r>
        <w:rPr>
          <w:rFonts w:ascii="iA Writer Duospace Regular" w:hAnsi="iA Writer Duospace Regular"/>
          <w:sz w:val="16"/>
          <w:szCs w:val="16"/>
          <w:rtl w:val="0"/>
          <w:lang w:val="en-US"/>
        </w:rPr>
        <w:t>single cell analysis technology: It is a technology that can analyze the expression of all genes expressed in tens of thousands of individual cells with a single experiment and has been recently considered to be one of the most important next-generation technologies in the fields of biology and medicine.</w:t>
      </w:r>
    </w:p>
    <w:p>
      <w:pPr>
        <w:pStyle w:val="Body"/>
        <w:spacing w:line="288" w:lineRule="auto"/>
        <w:jc w:val="both"/>
        <w:rPr>
          <w:rFonts w:ascii="iA Writer Duospace Regular" w:cs="iA Writer Duospace Regular" w:hAnsi="iA Writer Duospace Regular" w:eastAsia="iA Writer Duospace Regular"/>
          <w:sz w:val="20"/>
          <w:szCs w:val="20"/>
        </w:rPr>
      </w:pPr>
    </w:p>
    <w:p>
      <w:pPr>
        <w:pStyle w:val="Body"/>
        <w:spacing w:line="288" w:lineRule="auto"/>
        <w:jc w:val="both"/>
        <w:rPr>
          <w:rFonts w:ascii="iA Writer Duospace Regular" w:cs="iA Writer Duospace Regular" w:hAnsi="iA Writer Duospace Regular" w:eastAsia="iA Writer Duospace Regular"/>
          <w:sz w:val="20"/>
          <w:szCs w:val="20"/>
        </w:rPr>
      </w:pPr>
      <w:r>
        <w:rPr>
          <w:rFonts w:ascii="iA Writer Duospace Regular" w:hAnsi="iA Writer Duospace Regular"/>
          <w:sz w:val="20"/>
          <w:szCs w:val="20"/>
          <w:rtl w:val="0"/>
          <w:lang w:val="en-US"/>
        </w:rPr>
        <w:t>The research team followed the progression of thyroid cancer through single-cell analysis and genome analysis, and, as a result, revealed that CREB3L1 is a key factor in inducing undifferentiated thyroid cancer by regulating cancer metastasis and cancer cell metabolism.</w:t>
      </w:r>
    </w:p>
    <w:p>
      <w:pPr>
        <w:pStyle w:val="Body"/>
        <w:spacing w:line="288" w:lineRule="auto"/>
        <w:jc w:val="both"/>
        <w:rPr>
          <w:rFonts w:ascii="iA Writer Duospace Regular" w:cs="iA Writer Duospace Regular" w:hAnsi="iA Writer Duospace Regular" w:eastAsia="iA Writer Duospace Regular"/>
          <w:sz w:val="20"/>
          <w:szCs w:val="20"/>
        </w:rPr>
      </w:pPr>
    </w:p>
    <w:p>
      <w:pPr>
        <w:pStyle w:val="Body"/>
        <w:spacing w:line="288" w:lineRule="auto"/>
        <w:jc w:val="both"/>
        <w:rPr>
          <w:rFonts w:ascii="iA Writer Duospace Regular" w:cs="iA Writer Duospace Regular" w:hAnsi="iA Writer Duospace Regular" w:eastAsia="iA Writer Duospace Regular"/>
          <w:sz w:val="20"/>
          <w:szCs w:val="20"/>
        </w:rPr>
      </w:pPr>
      <w:r>
        <w:rPr>
          <w:rFonts w:ascii="iA Writer Duospace Regular" w:hAnsi="iA Writer Duospace Regular"/>
          <w:sz w:val="20"/>
          <w:szCs w:val="20"/>
          <w:rtl w:val="0"/>
          <w:lang w:val="en-US"/>
        </w:rPr>
        <w:t xml:space="preserve">Thyroid cancer is known to have a high survival rate, a slow progression rate, and a low chance of recurrence compared to other cancers. However, some can progress to undifferentiated thyroid cancer, a difficult-to-treat </w:t>
      </w:r>
      <w:r>
        <w:rPr>
          <w:rFonts w:ascii="iA Writer Duospace Regular" w:hAnsi="iA Writer Duospace Regular" w:hint="default"/>
          <w:sz w:val="20"/>
          <w:szCs w:val="20"/>
          <w:rtl w:val="1"/>
        </w:rPr>
        <w:t>‘</w:t>
      </w:r>
      <w:r>
        <w:rPr>
          <w:rFonts w:ascii="iA Writer Duospace Regular" w:hAnsi="iA Writer Duospace Regular"/>
          <w:sz w:val="20"/>
          <w:szCs w:val="20"/>
          <w:rtl w:val="0"/>
          <w:lang w:val="en-US"/>
        </w:rPr>
        <w:t>bad cancer,</w:t>
      </w:r>
      <w:r>
        <w:rPr>
          <w:rFonts w:ascii="iA Writer Duospace Regular" w:hAnsi="iA Writer Duospace Regular" w:hint="default"/>
          <w:sz w:val="20"/>
          <w:szCs w:val="20"/>
          <w:rtl w:val="1"/>
        </w:rPr>
        <w:t xml:space="preserve">’ </w:t>
      </w:r>
      <w:r>
        <w:rPr>
          <w:rFonts w:ascii="iA Writer Duospace Regular" w:hAnsi="iA Writer Duospace Regular"/>
          <w:sz w:val="20"/>
          <w:szCs w:val="20"/>
          <w:rtl w:val="0"/>
          <w:lang w:val="en-US"/>
        </w:rPr>
        <w:t>which can be dangerous if left untreated. In addition, there have not been enough studies on how undifferentiated thyroid cancer progresses and what are the key regulatory genes.</w:t>
      </w:r>
    </w:p>
    <w:p>
      <w:pPr>
        <w:pStyle w:val="Body"/>
        <w:spacing w:line="288" w:lineRule="auto"/>
        <w:jc w:val="both"/>
        <w:rPr>
          <w:rFonts w:ascii="iA Writer Duospace Regular" w:cs="iA Writer Duospace Regular" w:hAnsi="iA Writer Duospace Regular" w:eastAsia="iA Writer Duospace Regular"/>
          <w:sz w:val="20"/>
          <w:szCs w:val="20"/>
        </w:rPr>
      </w:pPr>
    </w:p>
    <w:p>
      <w:pPr>
        <w:pStyle w:val="Body"/>
        <w:spacing w:line="288" w:lineRule="auto"/>
        <w:jc w:val="both"/>
        <w:rPr>
          <w:rFonts w:ascii="iA Writer Duospace Regular" w:cs="iA Writer Duospace Regular" w:hAnsi="iA Writer Duospace Regular" w:eastAsia="iA Writer Duospace Regular"/>
          <w:sz w:val="20"/>
          <w:szCs w:val="20"/>
        </w:rPr>
      </w:pPr>
      <w:r>
        <w:rPr>
          <w:rFonts w:ascii="iA Writer Duospace Regular" w:hAnsi="iA Writer Duospace Regular"/>
          <w:sz w:val="20"/>
          <w:szCs w:val="20"/>
          <w:rtl w:val="0"/>
          <w:lang w:val="en-US"/>
        </w:rPr>
        <w:t>The research team found a small number of cancer cells that are specific to undifferentiated thyroid cancer through single-cell analysis of patient tissues, and found that these cancer cells were derived from differentiated thyroid cancer cells, which have good prognosis. This study refutes the existing hypothesis that undifferentiated thyroid cancer and differentiated thyroid cancer progress through different pathways.</w:t>
      </w:r>
    </w:p>
    <w:p>
      <w:pPr>
        <w:pStyle w:val="Body"/>
        <w:spacing w:line="288" w:lineRule="auto"/>
        <w:jc w:val="both"/>
        <w:rPr>
          <w:rFonts w:ascii="iA Writer Duospace Regular" w:cs="iA Writer Duospace Regular" w:hAnsi="iA Writer Duospace Regular" w:eastAsia="iA Writer Duospace Regular"/>
          <w:sz w:val="20"/>
          <w:szCs w:val="20"/>
        </w:rPr>
      </w:pPr>
    </w:p>
    <w:p>
      <w:pPr>
        <w:pStyle w:val="Default"/>
        <w:bidi w:val="0"/>
        <w:spacing w:before="0" w:line="240" w:lineRule="auto"/>
        <w:ind w:left="0" w:right="0" w:firstLine="0"/>
        <w:jc w:val="center"/>
        <w:rPr>
          <w:sz w:val="24"/>
          <w:szCs w:val="24"/>
          <w:rtl w:val="0"/>
        </w:rPr>
      </w:pPr>
      <w:r>
        <w:rPr>
          <w:sz w:val="24"/>
          <w:szCs w:val="24"/>
          <w:rtl w:val="0"/>
        </w:rPr>
        <w:drawing xmlns:a="http://schemas.openxmlformats.org/drawingml/2006/main">
          <wp:inline distT="0" distB="0" distL="0" distR="0">
            <wp:extent cx="3131830" cy="3399660"/>
            <wp:effectExtent l="0" t="0" r="0" b="0"/>
            <wp:docPr id="1073741825" name="officeArt object" descr="Image"/>
            <wp:cNvGraphicFramePr/>
            <a:graphic xmlns:a="http://schemas.openxmlformats.org/drawingml/2006/main">
              <a:graphicData uri="http://schemas.openxmlformats.org/drawingml/2006/picture">
                <pic:pic xmlns:pic="http://schemas.openxmlformats.org/drawingml/2006/picture">
                  <pic:nvPicPr>
                    <pic:cNvPr id="1073741825" name="Image" descr="Image"/>
                    <pic:cNvPicPr>
                      <a:picLocks noChangeAspect="1"/>
                    </pic:cNvPicPr>
                  </pic:nvPicPr>
                  <pic:blipFill>
                    <a:blip r:embed="rId4">
                      <a:extLst/>
                    </a:blip>
                    <a:stretch>
                      <a:fillRect/>
                    </a:stretch>
                  </pic:blipFill>
                  <pic:spPr>
                    <a:xfrm>
                      <a:off x="0" y="0"/>
                      <a:ext cx="3131830" cy="3399660"/>
                    </a:xfrm>
                    <a:prstGeom prst="rect">
                      <a:avLst/>
                    </a:prstGeom>
                    <a:ln w="25400" cap="flat">
                      <a:solidFill>
                        <a:srgbClr val="F3F7F5"/>
                      </a:solidFill>
                      <a:prstDash val="solid"/>
                      <a:miter lim="400000"/>
                    </a:ln>
                    <a:effectLst>
                      <a:outerShdw sx="100000" sy="100000" kx="0" ky="0" algn="b" rotWithShape="0" blurRad="50800" dist="25400" dir="3600000">
                        <a:srgbClr val="000000">
                          <a:alpha val="70000"/>
                        </a:srgbClr>
                      </a:outerShdw>
                    </a:effectLst>
                  </pic:spPr>
                </pic:pic>
              </a:graphicData>
            </a:graphic>
          </wp:inline>
        </w:drawing>
      </w:r>
      <w:r>
        <w:rPr>
          <w:sz w:val="24"/>
          <w:szCs w:val="24"/>
          <w:rtl w:val="0"/>
        </w:rPr>
        <w:t xml:space="preserve"> </w:t>
      </w:r>
    </w:p>
    <w:p>
      <w:pPr>
        <w:pStyle w:val="Body"/>
        <w:spacing w:line="288" w:lineRule="auto"/>
        <w:ind w:left="720"/>
        <w:jc w:val="left"/>
        <w:rPr>
          <w:rFonts w:ascii="iA Writer Duospace Regular" w:cs="iA Writer Duospace Regular" w:hAnsi="iA Writer Duospace Regular" w:eastAsia="iA Writer Duospace Regular"/>
          <w:sz w:val="18"/>
          <w:szCs w:val="18"/>
        </w:rPr>
      </w:pPr>
      <w:r>
        <w:rPr>
          <w:rFonts w:ascii="iA Writer Duospace Regular" w:hAnsi="iA Writer Duospace Regular"/>
          <w:sz w:val="18"/>
          <w:szCs w:val="18"/>
          <w:rtl w:val="0"/>
          <w:lang w:val="en-US"/>
        </w:rPr>
        <w:t>(A) Schematic diagram of a study performed single-cell</w:t>
      </w:r>
      <w:r>
        <w:rPr>
          <w:rFonts w:ascii="iA Writer Duospace Regular" w:hAnsi="iA Writer Duospace Regular"/>
          <w:sz w:val="18"/>
          <w:szCs w:val="18"/>
          <w:rtl w:val="0"/>
          <w:lang w:val="en-US"/>
        </w:rPr>
        <w:t xml:space="preserve"> </w:t>
      </w:r>
      <w:r>
        <w:rPr>
          <w:rFonts w:ascii="iA Writer Duospace Regular" w:hAnsi="iA Writer Duospace Regular"/>
          <w:sz w:val="18"/>
          <w:szCs w:val="18"/>
          <w:rtl w:val="0"/>
          <w:lang w:val="en-US"/>
        </w:rPr>
        <w:t>analysis</w:t>
      </w:r>
    </w:p>
    <w:p>
      <w:pPr>
        <w:pStyle w:val="Body"/>
        <w:spacing w:line="288" w:lineRule="auto"/>
        <w:ind w:left="720"/>
        <w:jc w:val="left"/>
        <w:rPr>
          <w:rFonts w:ascii="iA Writer Duospace Regular" w:cs="iA Writer Duospace Regular" w:hAnsi="iA Writer Duospace Regular" w:eastAsia="iA Writer Duospace Regular"/>
          <w:sz w:val="18"/>
          <w:szCs w:val="18"/>
        </w:rPr>
      </w:pPr>
      <w:r>
        <w:rPr>
          <w:rFonts w:ascii="iA Writer Duospace Regular" w:hAnsi="iA Writer Duospace Regular"/>
          <w:sz w:val="18"/>
          <w:szCs w:val="18"/>
          <w:rtl w:val="0"/>
          <w:lang w:val="en-US"/>
        </w:rPr>
        <w:t>and genome analysis using thyroid cancer patient tissue</w:t>
      </w:r>
    </w:p>
    <w:p>
      <w:pPr>
        <w:pStyle w:val="Body"/>
        <w:spacing w:line="288" w:lineRule="auto"/>
        <w:ind w:left="720"/>
        <w:jc w:val="left"/>
        <w:rPr>
          <w:rFonts w:ascii="iA Writer Duospace Regular" w:cs="iA Writer Duospace Regular" w:hAnsi="iA Writer Duospace Regular" w:eastAsia="iA Writer Duospace Regular"/>
          <w:sz w:val="18"/>
          <w:szCs w:val="18"/>
        </w:rPr>
      </w:pPr>
      <w:r>
        <w:rPr>
          <w:rFonts w:ascii="iA Writer Duospace Regular" w:hAnsi="iA Writer Duospace Regular"/>
          <w:sz w:val="18"/>
          <w:szCs w:val="18"/>
          <w:rtl w:val="0"/>
          <w:lang w:val="en-US"/>
        </w:rPr>
        <w:t>(B) As a result of single cell analysis, undifferentiated thyroid</w:t>
      </w:r>
    </w:p>
    <w:p>
      <w:pPr>
        <w:pStyle w:val="Body"/>
        <w:spacing w:line="288" w:lineRule="auto"/>
        <w:ind w:left="720"/>
        <w:jc w:val="left"/>
        <w:rPr>
          <w:rFonts w:ascii="iA Writer Duospace Regular" w:cs="iA Writer Duospace Regular" w:hAnsi="iA Writer Duospace Regular" w:eastAsia="iA Writer Duospace Regular"/>
          <w:sz w:val="18"/>
          <w:szCs w:val="18"/>
        </w:rPr>
      </w:pPr>
      <w:r>
        <w:rPr>
          <w:rFonts w:ascii="iA Writer Duospace Regular" w:hAnsi="iA Writer Duospace Regular"/>
          <w:sz w:val="18"/>
          <w:szCs w:val="18"/>
          <w:rtl w:val="0"/>
          <w:lang w:val="en-US"/>
        </w:rPr>
        <w:t>cancer and differentiated thyroid cancer-specific cancer cell</w:t>
      </w:r>
    </w:p>
    <w:p>
      <w:pPr>
        <w:pStyle w:val="Body"/>
        <w:spacing w:line="288" w:lineRule="auto"/>
        <w:ind w:left="720"/>
        <w:jc w:val="left"/>
        <w:rPr>
          <w:rFonts w:ascii="iA Writer Duospace Regular" w:cs="iA Writer Duospace Regular" w:hAnsi="iA Writer Duospace Regular" w:eastAsia="iA Writer Duospace Regular"/>
          <w:sz w:val="18"/>
          <w:szCs w:val="18"/>
        </w:rPr>
      </w:pPr>
      <w:r>
        <w:rPr>
          <w:rFonts w:ascii="iA Writer Duospace Regular" w:hAnsi="iA Writer Duospace Regular"/>
          <w:sz w:val="18"/>
          <w:szCs w:val="18"/>
          <w:rtl w:val="0"/>
          <w:lang w:val="en-US"/>
        </w:rPr>
        <w:t>types and immune cells were identified.</w:t>
      </w:r>
    </w:p>
    <w:p>
      <w:pPr>
        <w:pStyle w:val="Body"/>
        <w:spacing w:line="288" w:lineRule="auto"/>
        <w:jc w:val="both"/>
        <w:rPr>
          <w:rFonts w:ascii="iA Writer Duospace Regular" w:cs="iA Writer Duospace Regular" w:hAnsi="iA Writer Duospace Regular" w:eastAsia="iA Writer Duospace Regular"/>
          <w:sz w:val="20"/>
          <w:szCs w:val="20"/>
        </w:rPr>
      </w:pPr>
    </w:p>
    <w:p>
      <w:pPr>
        <w:pStyle w:val="Body"/>
        <w:spacing w:line="288" w:lineRule="auto"/>
        <w:jc w:val="both"/>
        <w:rPr>
          <w:rFonts w:ascii="iA Writer Duospace Regular" w:cs="iA Writer Duospace Regular" w:hAnsi="iA Writer Duospace Regular" w:eastAsia="iA Writer Duospace Regular"/>
          <w:sz w:val="20"/>
          <w:szCs w:val="20"/>
        </w:rPr>
      </w:pPr>
      <w:r>
        <w:rPr>
          <w:rFonts w:ascii="iA Writer Duospace Regular" w:hAnsi="iA Writer Duospace Regular"/>
          <w:sz w:val="20"/>
          <w:szCs w:val="20"/>
          <w:rtl w:val="0"/>
          <w:lang w:val="en-US"/>
        </w:rPr>
        <w:t>A key factor inducing the progression to these undifferentiated thyroid cancer cells is CREB3L1, which has been shown to induce undifferentiated thyroid cancer by regulating the expression of other gene groups related to cancer metastasis and metabolism.</w:t>
      </w:r>
    </w:p>
    <w:p>
      <w:pPr>
        <w:pStyle w:val="Body"/>
        <w:spacing w:line="288" w:lineRule="auto"/>
        <w:jc w:val="both"/>
        <w:rPr>
          <w:rFonts w:ascii="iA Writer Duospace Regular" w:cs="iA Writer Duospace Regular" w:hAnsi="iA Writer Duospace Regular" w:eastAsia="iA Writer Duospace Regular"/>
          <w:sz w:val="20"/>
          <w:szCs w:val="20"/>
        </w:rPr>
      </w:pPr>
    </w:p>
    <w:p>
      <w:pPr>
        <w:pStyle w:val="Body"/>
        <w:spacing w:line="288" w:lineRule="auto"/>
        <w:jc w:val="both"/>
        <w:rPr>
          <w:rFonts w:ascii="iA Writer Duospace Regular" w:cs="iA Writer Duospace Regular" w:hAnsi="iA Writer Duospace Regular" w:eastAsia="iA Writer Duospace Regular"/>
          <w:sz w:val="20"/>
          <w:szCs w:val="20"/>
        </w:rPr>
      </w:pPr>
      <w:r>
        <w:rPr>
          <w:rFonts w:ascii="iA Writer Duospace Regular" w:hAnsi="iA Writer Duospace Regular"/>
          <w:sz w:val="20"/>
          <w:szCs w:val="20"/>
          <w:rtl w:val="0"/>
          <w:lang w:val="en-US"/>
        </w:rPr>
        <w:t>Professor Jihwan Park said, "The CREB3L1 gene discovered by our team was found to play an important role in the early stage of undifferentiated thyroid cancer. This is expected to present a new direction for the early diagnosis and development of therapeutic agents for undifferentiated thyroid cancer."</w:t>
      </w:r>
    </w:p>
    <w:p>
      <w:pPr>
        <w:pStyle w:val="Body"/>
        <w:spacing w:line="288" w:lineRule="auto"/>
        <w:jc w:val="both"/>
        <w:rPr>
          <w:rFonts w:ascii="iA Writer Duospace Regular" w:cs="iA Writer Duospace Regular" w:hAnsi="iA Writer Duospace Regular" w:eastAsia="iA Writer Duospace Regular"/>
          <w:sz w:val="20"/>
          <w:szCs w:val="20"/>
        </w:rPr>
      </w:pPr>
    </w:p>
    <w:p>
      <w:pPr>
        <w:pStyle w:val="Body"/>
        <w:spacing w:line="288" w:lineRule="auto"/>
        <w:jc w:val="both"/>
        <w:rPr>
          <w:rFonts w:ascii="iA Writer Duospace Regular" w:cs="iA Writer Duospace Regular" w:hAnsi="iA Writer Duospace Regular" w:eastAsia="iA Writer Duospace Regular"/>
          <w:sz w:val="20"/>
          <w:szCs w:val="20"/>
        </w:rPr>
      </w:pPr>
      <w:r>
        <w:rPr>
          <w:rFonts w:ascii="iA Writer Duospace Regular" w:hAnsi="iA Writer Duospace Regular"/>
          <w:sz w:val="20"/>
          <w:szCs w:val="20"/>
          <w:rtl w:val="0"/>
          <w:lang w:val="en-US"/>
        </w:rPr>
        <w:t xml:space="preserve">This research conducted by GIST Professor Jihwan Park's team through joint collaboration with Sichuan University Hospital in China was supported by the Samsung Future Technology Promotion Project and was published online on July 28, 2021, in </w:t>
      </w:r>
      <w:r>
        <w:rPr>
          <w:rFonts w:ascii="iA Writer Duospace Regular" w:hAnsi="iA Writer Duospace Regular"/>
          <w:i w:val="1"/>
          <w:iCs w:val="1"/>
          <w:sz w:val="20"/>
          <w:szCs w:val="20"/>
          <w:rtl w:val="0"/>
          <w:lang w:val="en-US"/>
        </w:rPr>
        <w:t>Science Advances</w:t>
      </w:r>
      <w:r>
        <w:rPr>
          <w:rFonts w:ascii="iA Writer Duospace Regular" w:hAnsi="iA Writer Duospace Regular"/>
          <w:sz w:val="20"/>
          <w:szCs w:val="20"/>
          <w:rtl w:val="0"/>
          <w:lang w:val="en-US"/>
        </w:rPr>
        <w:t>, an international renowned academic journal.</w:t>
      </w:r>
    </w:p>
    <w:p>
      <w:pPr>
        <w:pStyle w:val="Body"/>
        <w:spacing w:line="288" w:lineRule="auto"/>
        <w:jc w:val="both"/>
        <w:rPr>
          <w:rFonts w:ascii="iA Writer Duospace Regular" w:cs="iA Writer Duospace Regular" w:hAnsi="iA Writer Duospace Regular" w:eastAsia="iA Writer Duospace Regular"/>
          <w:sz w:val="20"/>
          <w:szCs w:val="20"/>
        </w:rPr>
      </w:pPr>
    </w:p>
    <w:p>
      <w:pPr>
        <w:pStyle w:val="Body"/>
        <w:jc w:val="both"/>
      </w:pPr>
      <w:r>
        <w:rPr>
          <w:rFonts w:ascii="iA Writer Duospace Regular" w:cs="iA Writer Duospace Regular" w:hAnsi="iA Writer Duospace Regular" w:eastAsia="iA Writer Duospace Regular"/>
          <w:sz w:val="20"/>
          <w:szCs w:val="20"/>
        </w:rPr>
        <w:drawing xmlns:a="http://schemas.openxmlformats.org/drawingml/2006/main">
          <wp:inline distT="0" distB="0" distL="0" distR="0">
            <wp:extent cx="548641" cy="308611"/>
            <wp:effectExtent l="0" t="0" r="0" b="0"/>
            <wp:docPr id="1073741826" name="officeArt object" descr="Image"/>
            <wp:cNvGraphicFramePr/>
            <a:graphic xmlns:a="http://schemas.openxmlformats.org/drawingml/2006/main">
              <a:graphicData uri="http://schemas.openxmlformats.org/drawingml/2006/picture">
                <pic:pic xmlns:pic="http://schemas.openxmlformats.org/drawingml/2006/picture">
                  <pic:nvPicPr>
                    <pic:cNvPr id="1073741826" name="Image" descr="Image"/>
                    <pic:cNvPicPr>
                      <a:picLocks noChangeAspect="1"/>
                    </pic:cNvPicPr>
                  </pic:nvPicPr>
                  <pic:blipFill>
                    <a:blip r:embed="rId5">
                      <a:extLst/>
                    </a:blip>
                    <a:stretch>
                      <a:fillRect/>
                    </a:stretch>
                  </pic:blipFill>
                  <pic:spPr>
                    <a:xfrm>
                      <a:off x="0" y="0"/>
                      <a:ext cx="548641" cy="308611"/>
                    </a:xfrm>
                    <a:prstGeom prst="rect">
                      <a:avLst/>
                    </a:prstGeom>
                    <a:ln w="12700" cap="flat">
                      <a:noFill/>
                      <a:miter lim="400000"/>
                    </a:ln>
                    <a:effectLst/>
                  </pic:spPr>
                </pic:pic>
              </a:graphicData>
            </a:graphic>
          </wp:inline>
        </w:drawing>
      </w:r>
    </w:p>
    <w:sectPr>
      <w:headerReference w:type="default" r:id="rId6"/>
      <w:footerReference w:type="default" r:id="rId7"/>
      <w:pgSz w:w="11906" w:h="16838" w:orient="portrait"/>
      <w:pgMar w:top="1440" w:right="1440" w:bottom="1440" w:left="1440" w:header="720" w:footer="720"/>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Times Roman">
    <w:charset w:val="00"/>
    <w:family w:val="roman"/>
    <w:pitch w:val="default"/>
  </w:font>
  <w:font w:name="Avenir Heavy">
    <w:charset w:val="00"/>
    <w:family w:val="roman"/>
    <w:pitch w:val="default"/>
  </w:font>
  <w:font w:name="iA Writer Duospace Regular">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hdr>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20"/>
  <w:autoHyphenation w:val="0"/>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Body">
    <w:name w:val="Body"/>
    <w:next w:val="Body"/>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Times Roman" w:cs="Arial Unicode MS" w:hAnsi="Times Roman" w:eastAsia="Arial Unicode MS"/>
      <w:b w:val="0"/>
      <w:bCs w:val="0"/>
      <w:i w:val="0"/>
      <w:iCs w:val="0"/>
      <w:caps w:val="0"/>
      <w:smallCaps w:val="0"/>
      <w:strike w:val="0"/>
      <w:dstrike w:val="0"/>
      <w:outline w:val="0"/>
      <w:color w:val="000000"/>
      <w:spacing w:val="0"/>
      <w:kern w:val="0"/>
      <w:position w:val="0"/>
      <w:sz w:val="24"/>
      <w:szCs w:val="24"/>
      <w:u w:val="none"/>
      <w:shd w:val="nil" w:color="auto" w:fill="auto"/>
      <w:vertAlign w:val="baseline"/>
      <w:lang w:val="en-US"/>
      <w14:textOutline>
        <w14:noFill/>
      </w14:textOutline>
      <w14:textFill>
        <w14:solidFill>
          <w14:srgbClr w14:val="000000"/>
        </w14:solidFill>
      </w14:textFill>
    </w:rPr>
  </w:style>
  <w:style w:type="paragraph" w:styleId="Default">
    <w:name w:val="Default"/>
    <w:next w:val="Default"/>
    <w:pPr>
      <w:keepNext w:val="0"/>
      <w:keepLines w:val="0"/>
      <w:pageBreakBefore w:val="0"/>
      <w:widowControl w:val="1"/>
      <w:shd w:val="clear" w:color="auto" w:fill="auto"/>
      <w:suppressAutoHyphens w:val="0"/>
      <w:bidi w:val="0"/>
      <w:spacing w:before="160" w:after="0" w:line="288" w:lineRule="auto"/>
      <w:ind w:left="0" w:right="0" w:firstLine="0"/>
      <w:jc w:val="left"/>
      <w:outlineLvl w:val="9"/>
    </w:pPr>
    <w:rPr>
      <w:rFonts w:ascii="Times Roman" w:cs="Arial Unicode MS" w:hAnsi="Times Roman" w:eastAsia="Arial Unicode MS"/>
      <w:b w:val="0"/>
      <w:bCs w:val="0"/>
      <w:i w:val="0"/>
      <w:iCs w:val="0"/>
      <w:caps w:val="0"/>
      <w:smallCaps w:val="0"/>
      <w:strike w:val="0"/>
      <w:dstrike w:val="0"/>
      <w:outline w:val="0"/>
      <w:color w:val="000000"/>
      <w:spacing w:val="0"/>
      <w:kern w:val="0"/>
      <w:position w:val="0"/>
      <w:sz w:val="26"/>
      <w:szCs w:val="26"/>
      <w:u w:val="none"/>
      <w:shd w:val="nil" w:color="auto" w:fill="auto"/>
      <w:vertAlign w:val="baseline"/>
      <w14:textOutline>
        <w14:noFill/>
      </w14:textOutline>
      <w14:textFill>
        <w14:solidFill>
          <w14:srgbClr w14:val="000000"/>
        </w14:solidFill>
      </w14:textFill>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image" Target="media/image1.jpeg"/><Relationship Id="rId5" Type="http://schemas.openxmlformats.org/officeDocument/2006/relationships/image" Target="media/image1.png"/><Relationship Id="rId6" Type="http://schemas.openxmlformats.org/officeDocument/2006/relationships/header" Target="header1.xml"/><Relationship Id="rId7" Type="http://schemas.openxmlformats.org/officeDocument/2006/relationships/footer" Target="footer1.xml"/><Relationship Id="rId8"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Blank">
  <a:themeElements>
    <a:clrScheme name="Blank">
      <a:dk1>
        <a:srgbClr val="000000"/>
      </a:dk1>
      <a:lt1>
        <a:srgbClr val="FFFFFF"/>
      </a:lt1>
      <a:dk2>
        <a:srgbClr val="5E5E5E"/>
      </a:dk2>
      <a:lt2>
        <a:srgbClr val="D5D5D5"/>
      </a:lt2>
      <a:accent1>
        <a:srgbClr val="00A2FF"/>
      </a:accent1>
      <a:accent2>
        <a:srgbClr val="16E7CF"/>
      </a:accent2>
      <a:accent3>
        <a:srgbClr val="61D836"/>
      </a:accent3>
      <a:accent4>
        <a:srgbClr val="FFD932"/>
      </a:accent4>
      <a:accent5>
        <a:srgbClr val="FF644E"/>
      </a:accent5>
      <a:accent6>
        <a:srgbClr val="FF42A1"/>
      </a:accent6>
      <a:hlink>
        <a:srgbClr val="0000FF"/>
      </a:hlink>
      <a:folHlink>
        <a:srgbClr val="FF00FF"/>
      </a:folHlink>
    </a:clrScheme>
    <a:fontScheme name="Blank">
      <a:majorFont>
        <a:latin typeface="Times Roman"/>
        <a:ea typeface="Times Roman"/>
        <a:cs typeface="Times Roman"/>
      </a:majorFont>
      <a:minorFont>
        <a:latin typeface="Times Roman"/>
        <a:ea typeface="Times Roman"/>
        <a:cs typeface="Times Roman"/>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000000"/>
        </a:solidFill>
        <a:ln w="12700" cap="flat">
          <a:noFill/>
          <a:miter lim="400000"/>
        </a:ln>
        <a:effectLst/>
        <a:sp3d/>
      </a:spPr>
      <a:bodyPr rot="0" spcFirstLastPara="1" vertOverflow="overflow" horzOverflow="overflow" vert="horz" wrap="square" lIns="50800" tIns="50800" rIns="50800" bIns="50800" numCol="1" spcCol="38100" rtlCol="0" anchor="ctr" upright="0">
        <a:spAutoFit/>
      </a:bodyPr>
      <a:lstStyle>
        <a:defPPr marL="0" marR="0" indent="0" algn="ctr" defTabSz="584200" rtl="0" fontAlgn="auto" latinLnBrk="0" hangingPunct="0">
          <a:lnSpc>
            <a:spcPct val="100000"/>
          </a:lnSpc>
          <a:spcBef>
            <a:spcPts val="0"/>
          </a:spcBef>
          <a:spcAft>
            <a:spcPts val="0"/>
          </a:spcAft>
          <a:buClrTx/>
          <a:buSzTx/>
          <a:buFontTx/>
          <a:buNone/>
          <a:tabLst/>
          <a:defRPr b="0" baseline="0" cap="none" i="0" spc="0" strike="noStrike" sz="1300" u="none" kumimoji="0" normalizeH="0">
            <a:ln>
              <a:noFill/>
            </a:ln>
            <a:solidFill>
              <a:srgbClr val="FFFFFF"/>
            </a:solidFill>
            <a:effectLst/>
            <a:uFillTx/>
            <a:latin typeface="+mn-lt"/>
            <a:ea typeface="+mn-ea"/>
            <a:cs typeface="+mn-cs"/>
            <a:sym typeface="Times Roman"/>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upright="0">
        <a:spAutoFit/>
      </a:bodyPr>
      <a:lstStyle>
        <a:defPPr marL="0" marR="0" indent="0" algn="l" defTabSz="457200" rtl="0" fontAlgn="auto" latinLnBrk="0" hangingPunct="0">
          <a:lnSpc>
            <a:spcPct val="100000"/>
          </a:lnSpc>
          <a:spcBef>
            <a:spcPts val="0"/>
          </a:spcBef>
          <a:spcAft>
            <a:spcPts val="0"/>
          </a:spcAft>
          <a:buClrTx/>
          <a:buSzTx/>
          <a:buFontTx/>
          <a:buNone/>
          <a:tabLst/>
          <a:defRPr b="0" baseline="0" cap="none" i="0" spc="0" strike="noStrike" sz="1200" u="none" kumimoji="0" normalizeH="0">
            <a:ln>
              <a:noFill/>
            </a:ln>
            <a:solidFill>
              <a:srgbClr val="000000"/>
            </a:solidFill>
            <a:effectLst/>
            <a:uFillTx/>
            <a:latin typeface="+mn-lt"/>
            <a:ea typeface="+mn-ea"/>
            <a:cs typeface="+mn-cs"/>
            <a:sym typeface="Times Roman"/>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